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7" w:lineRule="auto"/>
        <w:rPr>
          <w:sz w:val="20"/>
          <w:szCs w:val="20"/>
          <w:color w:val="auto"/>
        </w:rPr>
      </w:pPr>
      <w:r>
        <w:rPr>
          <w:rFonts w:ascii="Times New Roman" w:cs="Times New Roman" w:eastAsia="Times New Roman" w:hAnsi="Times New Roman"/>
          <w:sz w:val="18"/>
          <w:szCs w:val="18"/>
          <w:color w:val="auto"/>
        </w:rPr>
        <w:t>`</w:t>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7" w:lineRule="exact"/>
        <w:rPr>
          <w:sz w:val="24"/>
          <w:szCs w:val="24"/>
          <w:color w:val="auto"/>
        </w:rPr>
      </w:pPr>
    </w:p>
    <w:p>
      <w:pPr>
        <w:ind w:left="940" w:hanging="561"/>
        <w:spacing w:after="0"/>
        <w:tabs>
          <w:tab w:leader="none" w:pos="9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0" w:lineRule="exact"/>
        <w:rPr>
          <w:sz w:val="24"/>
          <w:szCs w:val="24"/>
          <w:color w:val="auto"/>
        </w:rPr>
      </w:pPr>
    </w:p>
    <w:p>
      <w:pPr>
        <w:ind w:left="940" w:hanging="561"/>
        <w:spacing w:after="0"/>
        <w:tabs>
          <w:tab w:leader="none" w:pos="9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4" w:lineRule="exact"/>
        <w:rPr>
          <w:rFonts w:ascii="MS PGothic" w:cs="MS PGothic" w:eastAsia="MS PGothic" w:hAnsi="MS PGothic"/>
          <w:sz w:val="18"/>
          <w:szCs w:val="18"/>
          <w:color w:val="auto"/>
          <w:highlight w:val="black"/>
        </w:rPr>
      </w:pPr>
    </w:p>
    <w:p>
      <w:pPr>
        <w:ind w:left="38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transition period from _____ to _____</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001-39896</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PLAYTIKA HOLDING CORP.</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69" w:lineRule="exact"/>
        <w:rPr>
          <w:sz w:val="24"/>
          <w:szCs w:val="24"/>
          <w:color w:val="auto"/>
        </w:rPr>
      </w:pPr>
    </w:p>
    <w:tbl>
      <w:tblPr>
        <w:tblLayout w:type="fixed"/>
        <w:tblInd w:w="1700" w:type="dxa"/>
        <w:tblCellMar>
          <w:top w:w="0" w:type="dxa"/>
          <w:left w:w="0" w:type="dxa"/>
          <w:bottom w:w="0" w:type="dxa"/>
          <w:right w:w="0" w:type="dxa"/>
        </w:tblCellMar>
      </w:tblPr>
      <w:tr>
        <w:trPr>
          <w:trHeight w:val="227"/>
        </w:trPr>
        <w:tc>
          <w:tcPr>
            <w:tcW w:w="4140" w:type="dxa"/>
            <w:vAlign w:val="bottom"/>
          </w:tcPr>
          <w:p>
            <w:pPr>
              <w:jc w:val="center"/>
              <w:ind w:right="20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8"/>
                <w:szCs w:val="18"/>
                <w:b w:val="1"/>
                <w:bCs w:val="1"/>
                <w:color w:val="auto"/>
                <w:w w:val="98"/>
              </w:rPr>
              <w:t>81-3634591</w:t>
            </w:r>
          </w:p>
        </w:tc>
      </w:tr>
      <w:tr>
        <w:trPr>
          <w:trHeight w:val="190"/>
        </w:trPr>
        <w:tc>
          <w:tcPr>
            <w:tcW w:w="414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(State of other jurisdiction</w:t>
            </w:r>
          </w:p>
        </w:tc>
        <w:tc>
          <w:tcPr>
            <w:tcW w:w="326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414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 Playtika Ltd.</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HaChoshlim St 8</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Herzliya Pituach, Israel</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972-73-316-3251</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30" w:type="dxa"/>
        <w:tblCellMar>
          <w:top w:w="0" w:type="dxa"/>
          <w:left w:w="0" w:type="dxa"/>
          <w:bottom w:w="0" w:type="dxa"/>
          <w:right w:w="0" w:type="dxa"/>
        </w:tblCellMar>
      </w:tblPr>
      <w:tr>
        <w:trPr>
          <w:trHeight w:val="209"/>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PLTK</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310" w:lineRule="exact"/>
        <w:rPr>
          <w:sz w:val="24"/>
          <w:szCs w:val="24"/>
          <w:color w:val="auto"/>
        </w:rPr>
      </w:pPr>
    </w:p>
    <w:p>
      <w:pPr>
        <w:jc w:val="both"/>
        <w:ind w:firstLine="648"/>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firstLine="579"/>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ind w:firstLine="57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57"/>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96" w:lineRule="exact"/>
        <w:rPr>
          <w:sz w:val="24"/>
          <w:szCs w:val="24"/>
          <w:color w:val="auto"/>
        </w:rPr>
      </w:pPr>
    </w:p>
    <w:p>
      <w:pPr>
        <w:ind w:firstLine="579"/>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8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auto"/>
        </w:rPr>
        <w:t>As of May 4, 2026 the registrant had 380,379,545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ind w:left="4280"/>
        <w:spacing w:after="0"/>
        <w:rPr>
          <w:sz w:val="20"/>
          <w:szCs w:val="20"/>
          <w:color w:val="auto"/>
        </w:rPr>
      </w:pPr>
      <w:r>
        <w:rPr>
          <w:rFonts w:ascii="Times New Roman" w:cs="Times New Roman" w:eastAsia="Times New Roman" w:hAnsi="Times New Roman"/>
          <w:sz w:val="20"/>
          <w:szCs w:val="20"/>
          <w:b w:val="1"/>
          <w:bCs w:val="1"/>
          <w:color w:val="auto"/>
        </w:rPr>
        <w:t>PLAYTIKA HOLDING CORP.</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PART I.</w:t>
            </w:r>
          </w:p>
        </w:tc>
        <w:tc>
          <w:tcPr>
            <w:tcW w:w="846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80" w:type="dxa"/>
            <w:vAlign w:val="bottom"/>
            <w:gridSpan w:val="2"/>
          </w:tcPr>
          <w:p>
            <w:pPr>
              <w:jc w:val="center"/>
              <w:ind w:left="39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3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FINANCIAL STATEMENTS (Unaudited)</w:t>
            </w:r>
          </w:p>
        </w:tc>
        <w:tc>
          <w:tcPr>
            <w:tcW w:w="5400" w:type="dxa"/>
            <w:vAlign w:val="bottom"/>
            <w:gridSpan w:val="10"/>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8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2026 and December 31, 2025</w:t>
            </w:r>
          </w:p>
        </w:tc>
        <w:tc>
          <w:tcPr>
            <w:tcW w:w="5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0000FF"/>
              </w:rPr>
              <w:t>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Pr>
          <w:p>
            <w:pPr>
              <w:spacing w:after="0"/>
              <w:rPr>
                <w:sz w:val="18"/>
                <w:szCs w:val="18"/>
                <w:color w:val="auto"/>
              </w:rPr>
            </w:pPr>
          </w:p>
        </w:tc>
        <w:tc>
          <w:tcPr>
            <w:tcW w:w="8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three months ended March 31, 2026 and 2025</w:t>
            </w:r>
          </w:p>
        </w:tc>
        <w:tc>
          <w:tcPr>
            <w:tcW w:w="5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0000FF"/>
              </w:rPr>
              <w:t>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744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Deficit for the three months ended March 31, 2026 and 2025</w:t>
            </w:r>
          </w:p>
        </w:tc>
        <w:tc>
          <w:tcPr>
            <w:tcW w:w="160" w:type="dxa"/>
            <w:vAlign w:val="bottom"/>
            <w:tcBorders>
              <w:top w:val="single" w:sz="8" w:color="0000FF"/>
            </w:tcBorders>
          </w:tcPr>
          <w:p>
            <w:pPr>
              <w:spacing w:after="0"/>
              <w:rPr>
                <w:sz w:val="18"/>
                <w:szCs w:val="18"/>
                <w:color w:val="auto"/>
              </w:rPr>
            </w:pPr>
          </w:p>
        </w:tc>
        <w:tc>
          <w:tcPr>
            <w:tcW w:w="8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three months ended March 31, 2026 and 2025</w:t>
            </w:r>
          </w:p>
        </w:tc>
        <w:tc>
          <w:tcPr>
            <w:tcW w:w="1720" w:type="dxa"/>
            <w:vAlign w:val="bottom"/>
            <w:gridSpan w:val="4"/>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8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5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0000FF"/>
              </w:rPr>
              <w:t>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52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70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62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8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320" w:type="dxa"/>
            <w:vAlign w:val="bottom"/>
            <w:gridSpan w:val="5"/>
          </w:tcPr>
          <w:p>
            <w:pPr>
              <w:spacing w:after="0"/>
              <w:rPr>
                <w:sz w:val="2"/>
                <w:szCs w:val="2"/>
                <w:color w:val="auto"/>
              </w:rPr>
            </w:pPr>
          </w:p>
        </w:tc>
        <w:tc>
          <w:tcPr>
            <w:tcW w:w="4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8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6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320" w:type="dxa"/>
            <w:vAlign w:val="bottom"/>
            <w:gridSpan w:val="5"/>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77"/>
              </w:rPr>
              <w:t>33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26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3540" w:type="dxa"/>
            <w:vAlign w:val="bottom"/>
            <w:gridSpan w:val="6"/>
          </w:tcPr>
          <w:p>
            <w:pPr>
              <w:spacing w:after="0"/>
              <w:rPr>
                <w:sz w:val="18"/>
                <w:szCs w:val="18"/>
                <w:color w:val="auto"/>
              </w:rPr>
            </w:pPr>
          </w:p>
        </w:tc>
        <w:tc>
          <w:tcPr>
            <w:tcW w:w="2320" w:type="dxa"/>
            <w:vAlign w:val="bottom"/>
            <w:gridSpan w:val="5"/>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77"/>
              </w:rPr>
              <w:t>34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580" w:type="dxa"/>
            <w:vAlign w:val="bottom"/>
            <w:gridSpan w:val="3"/>
          </w:tcPr>
          <w:p>
            <w:pPr>
              <w:spacing w:after="0"/>
              <w:rPr>
                <w:sz w:val="18"/>
                <w:szCs w:val="18"/>
                <w:color w:val="auto"/>
              </w:rPr>
            </w:pPr>
          </w:p>
        </w:tc>
        <w:tc>
          <w:tcPr>
            <w:tcW w:w="5860" w:type="dxa"/>
            <w:vAlign w:val="bottom"/>
            <w:gridSpan w:val="11"/>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77"/>
              </w:rPr>
              <w:t>35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40" w:type="dxa"/>
            <w:vAlign w:val="bottom"/>
            <w:gridSpan w:val="14"/>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77"/>
              </w:rPr>
              <w:t>35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1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600" w:type="dxa"/>
            <w:vAlign w:val="bottom"/>
            <w:gridSpan w:val="16"/>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77"/>
              </w:rPr>
              <w:t>35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3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880" w:type="dxa"/>
            <w:vAlign w:val="bottom"/>
            <w:gridSpan w:val="3"/>
          </w:tcPr>
          <w:p>
            <w:pPr>
              <w:spacing w:after="0"/>
              <w:rPr>
                <w:sz w:val="18"/>
                <w:szCs w:val="18"/>
                <w:color w:val="auto"/>
              </w:rPr>
            </w:pPr>
          </w:p>
        </w:tc>
        <w:tc>
          <w:tcPr>
            <w:tcW w:w="2400" w:type="dxa"/>
            <w:vAlign w:val="bottom"/>
            <w:gridSpan w:val="6"/>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77"/>
              </w:rPr>
              <w:t>35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280" w:type="dxa"/>
            <w:vAlign w:val="bottom"/>
            <w:gridSpan w:val="9"/>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2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40" w:type="dxa"/>
            <w:vAlign w:val="bottom"/>
            <w:gridSpan w:val="3"/>
          </w:tcPr>
          <w:p>
            <w:pPr>
              <w:spacing w:after="0"/>
              <w:rPr>
                <w:sz w:val="18"/>
                <w:szCs w:val="18"/>
                <w:color w:val="auto"/>
              </w:rPr>
            </w:pPr>
          </w:p>
        </w:tc>
        <w:tc>
          <w:tcPr>
            <w:tcW w:w="5280" w:type="dxa"/>
            <w:vAlign w:val="bottom"/>
            <w:gridSpan w:val="9"/>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77"/>
              </w:rPr>
              <w:t>35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20" w:type="dxa"/>
            <w:vAlign w:val="bottom"/>
            <w:gridSpan w:val="1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560" w:type="dxa"/>
            <w:vAlign w:val="bottom"/>
            <w:gridSpan w:val="3"/>
          </w:tcPr>
          <w:p>
            <w:pPr>
              <w:spacing w:after="0"/>
              <w:rPr>
                <w:sz w:val="18"/>
                <w:szCs w:val="18"/>
                <w:color w:val="auto"/>
              </w:rPr>
            </w:pPr>
          </w:p>
        </w:tc>
        <w:tc>
          <w:tcPr>
            <w:tcW w:w="6020" w:type="dxa"/>
            <w:vAlign w:val="bottom"/>
            <w:gridSpan w:val="12"/>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77"/>
              </w:rPr>
              <w:t>35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580" w:type="dxa"/>
            <w:vAlign w:val="bottom"/>
            <w:gridSpan w:val="1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6580" w:type="dxa"/>
            <w:vAlign w:val="bottom"/>
            <w:gridSpan w:val="15"/>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77"/>
              </w:rPr>
              <w:t>36</w:t>
            </w:r>
          </w:p>
        </w:tc>
        <w:tc>
          <w:tcPr>
            <w:tcW w:w="0" w:type="dxa"/>
            <w:vAlign w:val="bottom"/>
          </w:tcPr>
          <w:p>
            <w:pPr>
              <w:spacing w:after="0"/>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4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05"/>
        </w:trPr>
        <w:tc>
          <w:tcPr>
            <w:tcW w:w="1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 w:name="page3"/>
    <w:bookmarkEnd w:id="2"/>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ABOUT FORWARD 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or may contain forward-looking statements within the meaning of the Private Securities Litigation Reform Act of 1995 and Section 21E of the Exchange Act. All statements other than statements of historical facts contained in this quarterly report, including statements regarding our business strategy, plans and our objectives for future operations, are forward-looking statements. Further, statements that include words such as “anticipate,” “believe,” “continue,” “could,” “estimate,” “future,” “expect,” “intend,” “may,” “might,” “plan,” “potential,” “present,” “preserve,” “project,” “pursue,” “should,” “will,” or “would,” or the negative of these words or other words or expressions of similar meaning may identify forward-looking statements.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significant risks, uncertainties and assumptions, including, but not limited to, the important factors discussed in Part II, Item 1A, “Risk Factors” in this Quarterly Report on Form 10-Q and our Annual Report on Form 10-K filed with the Securities and Exchange Commission (the “SEC”) on February 26, 2026. Moreover, we operate in a very competitive and rapidly changing environment and industry. As a result, it is not possible for our management to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statements discussed in this Quarterly Report on Form 10-Q, including the documents incorporated by reference, may not occur and actual results could differ materially and adversely from those anticipated, predicted or implied in the forward-looking statements.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estimates or projections contained in the forward-looking statements include without limitation:</w:t>
      </w:r>
    </w:p>
    <w:p>
      <w:pPr>
        <w:spacing w:after="0" w:line="189" w:lineRule="exact"/>
        <w:rPr>
          <w:sz w:val="20"/>
          <w:szCs w:val="20"/>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our majority shareholder or other third parties that influence us;</w:t>
      </w:r>
    </w:p>
    <w:p>
      <w:pPr>
        <w:spacing w:after="0" w:line="27" w:lineRule="exact"/>
        <w:rPr>
          <w:rFonts w:ascii="Times New Roman" w:cs="Times New Roman" w:eastAsia="Times New Roman" w:hAnsi="Times New Roman"/>
          <w:sz w:val="18"/>
          <w:szCs w:val="18"/>
          <w:color w:val="auto"/>
        </w:rPr>
      </w:pPr>
    </w:p>
    <w:p>
      <w:pPr>
        <w:ind w:left="1300" w:right="2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platforms, such as the iOS App Store and Google Play Store, to distribute our games and collect revenues, and the risk that such platforms may adversely change their policies;</w:t>
      </w: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games to generate the majority of our revenue;</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small percentage of total users to generate a majority of our revenue;</w:t>
      </w:r>
    </w:p>
    <w:p>
      <w:pPr>
        <w:spacing w:after="0" w:line="9" w:lineRule="exact"/>
        <w:rPr>
          <w:rFonts w:ascii="Times New Roman" w:cs="Times New Roman" w:eastAsia="Times New Roman" w:hAnsi="Times New Roman"/>
          <w:sz w:val="18"/>
          <w:szCs w:val="18"/>
          <w:color w:val="auto"/>
        </w:rPr>
      </w:pPr>
    </w:p>
    <w:p>
      <w:pPr>
        <w:ind w:left="130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free-to-play business model, and the value of virtual items sold in our games, is highly dependent on how we manage the game revenues and pricing models;</w:t>
      </w:r>
    </w:p>
    <w:p>
      <w:pPr>
        <w:ind w:left="130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refinance our indebtedness, including, without limitation, our $550 million revolving credit facility which is set to expire in March 2027, or to obtain additional financing on favorable terms or at all;</w:t>
      </w:r>
    </w:p>
    <w:p>
      <w:pPr>
        <w:jc w:val="both"/>
        <w:ind w:left="130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identify acquisition targets that fit our strategy or complete acquisitions and integrate any acquired businesses successfully or realize the anticipated benefits of such acquisitions could limit our growth, disrupt our plans and operations or impact the amount of capital allocated to mergers and acquisitions;</w:t>
      </w:r>
    </w:p>
    <w:p>
      <w:pPr>
        <w:spacing w:after="0" w:line="1"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highly competitive industry with low barriers to entry;</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players, attract new players and increase the monetization of our player base;</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and/or launch new products and content or otherwise execute against our product roadmap strategy;</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are subject to the obligations and restrictive covenants under our debt instruments;</w:t>
      </w:r>
    </w:p>
    <w:p>
      <w:pPr>
        <w:spacing w:after="0" w:line="9" w:lineRule="exact"/>
        <w:rPr>
          <w:rFonts w:ascii="Times New Roman" w:cs="Times New Roman" w:eastAsia="Times New Roman" w:hAnsi="Times New Roman"/>
          <w:sz w:val="18"/>
          <w:szCs w:val="18"/>
          <w:color w:val="auto"/>
        </w:rPr>
      </w:pPr>
    </w:p>
    <w:p>
      <w:pPr>
        <w:ind w:left="130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 economic recession or periods of increased inflation, and any reductions to household spending on the types of discretionary entertainment we offer;</w:t>
      </w: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controlled company status;</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or regulatory restrictions or proceedings could adversely impact our business and limit the growth of our operations;</w:t>
      </w:r>
    </w:p>
    <w:p>
      <w:pPr>
        <w:spacing w:after="0" w:line="9" w:lineRule="exact"/>
        <w:rPr>
          <w:rFonts w:ascii="Times New Roman" w:cs="Times New Roman" w:eastAsia="Times New Roman" w:hAnsi="Times New Roman"/>
          <w:sz w:val="18"/>
          <w:szCs w:val="18"/>
          <w:color w:val="auto"/>
        </w:rPr>
      </w:pPr>
    </w:p>
    <w:p>
      <w:pPr>
        <w:ind w:left="1300" w:right="2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international operations and ownership, including our significant operations in Israel and Ukraine and the fact that our controlling stockholder is a Chinese-owned company;</w:t>
      </w: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such as the Wars in Israel and Ukraine;</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other factors affecting the payment of dividends, including the decision whether or not to pay a dividend;</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amount and timing of repurchases under our stock repurchase program;</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other disruptions could compromise our information or our players’ information and expose us to liability; and</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intellectual property and proprietary information could adversely impact our business.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statements about the impact of the Wars in Israel and Ukraine are subject to the risks that hostilities may escalate and expand and that the actual impact may differ, possibly materially, from what is currently expected. Additional factors that may cause future events and actual results, financial or otherwise, to differ, potentially materially, from those discussed in or implied by the forward-looking statements include the risks and uncertainties discussed in the sections entitled “Business”, “Risk Factors” and “Management’s Discussion and Analysis of Financial Condition and Results of Operations” in this Quarterly Report on Form 10-Q and our Annual Report on Form 10-K filed with the SEC on February 26, 2026. Although we believe that the expectations reflected in the forward-looking statements are reasonable, we cannot guarantee that the future results, levels of activity, performance or events and circumstances reflected in the forward-looking statements will be achieved or occur, and reported results should not be considered as an indication of future performance. Given these risks and uncertainties, readers are cautioned not to place undue reliance on such forward-looking statements.</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forward-looking statements speak only as of the date they are made. Except as required by law, we undertake no obligation to update any forward-looking statements for any reason to conform these statements to actual results or to changes in our expectations.</w:t>
      </w:r>
    </w:p>
    <w:p>
      <w:pPr>
        <w:sectPr>
          <w:pgSz w:w="11900" w:h="16838" w:orient="portrait"/>
          <w:cols w:equalWidth="0" w:num="1">
            <w:col w:w="11240"/>
          </w:cols>
          <w:pgMar w:left="320" w:top="1440" w:right="339" w:bottom="708" w:gutter="0" w:footer="0" w:header="0"/>
        </w:sectPr>
      </w:pPr>
    </w:p>
    <w:bookmarkStart w:id="3" w:name="page4"/>
    <w:bookmarkEnd w:id="3"/>
    <w:p>
      <w:pPr>
        <w:jc w:val="both"/>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00" w:type="dxa"/>
            <w:vAlign w:val="bottom"/>
            <w:gridSpan w:val="3"/>
          </w:tcPr>
          <w:p>
            <w:pPr>
              <w:jc w:val="center"/>
              <w:ind w:right="640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1460" w:type="dxa"/>
            <w:vAlign w:val="bottom"/>
          </w:tcPr>
          <w:p>
            <w:pPr>
              <w:spacing w:after="0"/>
              <w:rPr>
                <w:sz w:val="20"/>
                <w:szCs w:val="20"/>
                <w:color w:val="auto"/>
              </w:rPr>
            </w:pP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000" w:type="dxa"/>
            <w:vAlign w:val="bottom"/>
            <w:gridSpan w:val="3"/>
          </w:tcPr>
          <w:p>
            <w:pPr>
              <w:jc w:val="center"/>
              <w:ind w:right="6440"/>
              <w:spacing w:after="0"/>
              <w:rPr>
                <w:sz w:val="20"/>
                <w:szCs w:val="20"/>
                <w:color w:val="auto"/>
              </w:rPr>
            </w:pPr>
            <w:r>
              <w:rPr>
                <w:rFonts w:ascii="Times New Roman" w:cs="Times New Roman" w:eastAsia="Times New Roman" w:hAnsi="Times New Roman"/>
                <w:sz w:val="18"/>
                <w:szCs w:val="18"/>
                <w:b w:val="1"/>
                <w:bCs w:val="1"/>
                <w:color w:val="auto"/>
                <w:w w:val="99"/>
              </w:rPr>
              <w:t>FINANCIAL STATEMENTS</w:t>
            </w:r>
          </w:p>
        </w:tc>
        <w:tc>
          <w:tcPr>
            <w:tcW w:w="1460" w:type="dxa"/>
            <w:vAlign w:val="bottom"/>
          </w:tcPr>
          <w:p>
            <w:pPr>
              <w:spacing w:after="0"/>
              <w:rPr>
                <w:sz w:val="24"/>
                <w:szCs w:val="24"/>
                <w:color w:val="auto"/>
              </w:rPr>
            </w:pPr>
          </w:p>
        </w:tc>
      </w:tr>
      <w:tr>
        <w:trPr>
          <w:trHeight w:val="410"/>
        </w:trPr>
        <w:tc>
          <w:tcPr>
            <w:tcW w:w="760" w:type="dxa"/>
            <w:vAlign w:val="bottom"/>
          </w:tcPr>
          <w:p>
            <w:pPr>
              <w:spacing w:after="0"/>
              <w:rPr>
                <w:sz w:val="24"/>
                <w:szCs w:val="24"/>
                <w:color w:val="auto"/>
              </w:rPr>
            </w:pPr>
          </w:p>
        </w:tc>
        <w:tc>
          <w:tcPr>
            <w:tcW w:w="90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60" w:type="dxa"/>
            <w:vAlign w:val="bottom"/>
          </w:tcPr>
          <w:p>
            <w:pPr>
              <w:spacing w:after="0"/>
              <w:rPr>
                <w:sz w:val="24"/>
                <w:szCs w:val="24"/>
                <w:color w:val="auto"/>
              </w:rPr>
            </w:pPr>
          </w:p>
        </w:tc>
      </w:tr>
      <w:tr>
        <w:trPr>
          <w:trHeight w:val="238"/>
        </w:trPr>
        <w:tc>
          <w:tcPr>
            <w:tcW w:w="760" w:type="dxa"/>
            <w:vAlign w:val="bottom"/>
          </w:tcPr>
          <w:p>
            <w:pPr>
              <w:spacing w:after="0"/>
              <w:rPr>
                <w:sz w:val="20"/>
                <w:szCs w:val="20"/>
                <w:color w:val="auto"/>
              </w:rPr>
            </w:pPr>
          </w:p>
        </w:tc>
        <w:tc>
          <w:tcPr>
            <w:tcW w:w="90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tc>
        <w:tc>
          <w:tcPr>
            <w:tcW w:w="1460" w:type="dxa"/>
            <w:vAlign w:val="bottom"/>
          </w:tcPr>
          <w:p>
            <w:pPr>
              <w:spacing w:after="0"/>
              <w:rPr>
                <w:sz w:val="20"/>
                <w:szCs w:val="20"/>
                <w:color w:val="auto"/>
              </w:rPr>
            </w:pPr>
          </w:p>
        </w:tc>
      </w:tr>
      <w:tr>
        <w:trPr>
          <w:trHeight w:val="189"/>
        </w:trPr>
        <w:tc>
          <w:tcPr>
            <w:tcW w:w="76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1"/>
        </w:trPr>
        <w:tc>
          <w:tcPr>
            <w:tcW w:w="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46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60" w:type="dxa"/>
            <w:vAlign w:val="bottom"/>
          </w:tcPr>
          <w:p>
            <w:pPr>
              <w:spacing w:after="0"/>
              <w:rPr>
                <w:sz w:val="19"/>
                <w:szCs w:val="19"/>
                <w:color w:val="auto"/>
              </w:rPr>
            </w:pPr>
          </w:p>
        </w:tc>
      </w:tr>
    </w:tbl>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investments</w:t>
            </w:r>
          </w:p>
        </w:tc>
        <w:tc>
          <w:tcPr>
            <w:tcW w:w="2020" w:type="dxa"/>
            <w:vAlign w:val="bottom"/>
          </w:tcPr>
          <w:p>
            <w:pPr>
              <w:spacing w:after="0"/>
              <w:rPr>
                <w:sz w:val="18"/>
                <w:szCs w:val="18"/>
                <w:color w:val="auto"/>
              </w:rPr>
            </w:pPr>
          </w:p>
        </w:tc>
      </w:tr>
      <w:tr>
        <w:trPr>
          <w:trHeight w:val="243"/>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2020" w:type="dxa"/>
            <w:vAlign w:val="bottom"/>
          </w:tcPr>
          <w:p>
            <w:pPr>
              <w:spacing w:after="0"/>
              <w:rPr>
                <w:sz w:val="21"/>
                <w:szCs w:val="21"/>
                <w:color w:val="auto"/>
              </w:rPr>
            </w:pPr>
          </w:p>
        </w:tc>
      </w:tr>
      <w:tr>
        <w:trPr>
          <w:trHeight w:val="243"/>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2020" w:type="dxa"/>
            <w:vAlign w:val="bottom"/>
          </w:tcPr>
          <w:p>
            <w:pPr>
              <w:spacing w:after="0"/>
              <w:rPr>
                <w:sz w:val="21"/>
                <w:szCs w:val="21"/>
                <w:color w:val="auto"/>
              </w:rPr>
            </w:pPr>
          </w:p>
        </w:tc>
      </w:tr>
      <w:tr>
        <w:trPr>
          <w:trHeight w:val="243"/>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20" w:type="dxa"/>
            <w:vAlign w:val="bottom"/>
          </w:tcPr>
          <w:p>
            <w:pPr>
              <w:spacing w:after="0"/>
              <w:rPr>
                <w:sz w:val="21"/>
                <w:szCs w:val="21"/>
                <w:color w:val="auto"/>
              </w:rPr>
            </w:pPr>
          </w:p>
        </w:tc>
      </w:tr>
      <w:tr>
        <w:trPr>
          <w:trHeight w:val="243"/>
        </w:trPr>
        <w:tc>
          <w:tcPr>
            <w:tcW w:w="626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other than goodwill, net</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20" w:type="dxa"/>
            <w:vAlign w:val="bottom"/>
          </w:tcPr>
          <w:p>
            <w:pPr>
              <w:spacing w:after="0"/>
              <w:rPr>
                <w:sz w:val="21"/>
                <w:szCs w:val="21"/>
                <w:color w:val="auto"/>
              </w:rPr>
            </w:pPr>
          </w:p>
        </w:tc>
      </w:tr>
      <w:tr>
        <w:trPr>
          <w:trHeight w:val="283"/>
        </w:trPr>
        <w:tc>
          <w:tcPr>
            <w:tcW w:w="626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3"/>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2020" w:type="dxa"/>
            <w:vAlign w:val="bottom"/>
          </w:tcPr>
          <w:p>
            <w:pPr>
              <w:spacing w:after="0"/>
              <w:rPr>
                <w:sz w:val="24"/>
                <w:szCs w:val="24"/>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20" w:type="dxa"/>
            <w:vAlign w:val="bottom"/>
          </w:tcPr>
          <w:p>
            <w:pPr>
              <w:spacing w:after="0"/>
              <w:rPr>
                <w:sz w:val="21"/>
                <w:szCs w:val="21"/>
                <w:color w:val="auto"/>
              </w:rPr>
            </w:pPr>
          </w:p>
        </w:tc>
      </w:tr>
      <w:tr>
        <w:trPr>
          <w:trHeight w:val="270"/>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20" w:type="dxa"/>
            <w:vAlign w:val="bottom"/>
          </w:tcPr>
          <w:p>
            <w:pPr>
              <w:spacing w:after="0"/>
              <w:rPr>
                <w:sz w:val="18"/>
                <w:szCs w:val="18"/>
                <w:color w:val="auto"/>
              </w:rPr>
            </w:pPr>
          </w:p>
        </w:tc>
      </w:tr>
      <w:tr>
        <w:trPr>
          <w:trHeight w:val="243"/>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020" w:type="dxa"/>
            <w:vAlign w:val="bottom"/>
          </w:tcPr>
          <w:p>
            <w:pPr>
              <w:spacing w:after="0"/>
              <w:rPr>
                <w:sz w:val="21"/>
                <w:szCs w:val="21"/>
                <w:color w:val="auto"/>
              </w:rPr>
            </w:pPr>
          </w:p>
        </w:tc>
      </w:tr>
      <w:tr>
        <w:trPr>
          <w:trHeight w:val="243"/>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20" w:type="dxa"/>
            <w:vAlign w:val="bottom"/>
          </w:tcPr>
          <w:p>
            <w:pPr>
              <w:spacing w:after="0"/>
              <w:rPr>
                <w:sz w:val="21"/>
                <w:szCs w:val="21"/>
                <w:color w:val="auto"/>
              </w:rPr>
            </w:pPr>
          </w:p>
        </w:tc>
      </w:tr>
      <w:tr>
        <w:trPr>
          <w:trHeight w:val="243"/>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20" w:type="dxa"/>
            <w:vAlign w:val="bottom"/>
          </w:tcPr>
          <w:p>
            <w:pPr>
              <w:spacing w:after="0"/>
              <w:rPr>
                <w:sz w:val="21"/>
                <w:szCs w:val="21"/>
                <w:color w:val="auto"/>
              </w:rPr>
            </w:pPr>
          </w:p>
        </w:tc>
      </w:tr>
      <w:tr>
        <w:trPr>
          <w:trHeight w:val="243"/>
        </w:trPr>
        <w:tc>
          <w:tcPr>
            <w:tcW w:w="626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20" w:type="dxa"/>
            <w:vAlign w:val="bottom"/>
          </w:tcPr>
          <w:p>
            <w:pPr>
              <w:spacing w:after="0"/>
              <w:rPr>
                <w:sz w:val="21"/>
                <w:szCs w:val="21"/>
                <w:color w:val="auto"/>
              </w:rPr>
            </w:pPr>
          </w:p>
        </w:tc>
      </w:tr>
      <w:tr>
        <w:trPr>
          <w:trHeight w:val="243"/>
        </w:trPr>
        <w:tc>
          <w:tcPr>
            <w:tcW w:w="626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20" w:type="dxa"/>
            <w:vAlign w:val="bottom"/>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8)</w:t>
            </w:r>
          </w:p>
        </w:tc>
        <w:tc>
          <w:tcPr>
            <w:tcW w:w="2020" w:type="dxa"/>
            <w:vAlign w:val="bottom"/>
          </w:tcPr>
          <w:p>
            <w:pPr>
              <w:spacing w:after="0"/>
              <w:rPr>
                <w:sz w:val="21"/>
                <w:szCs w:val="2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2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-4607560</wp:posOffset>
            </wp:positionV>
            <wp:extent cx="711517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-4298950</wp:posOffset>
            </wp:positionV>
            <wp:extent cx="711517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-3681730</wp:posOffset>
            </wp:positionV>
            <wp:extent cx="711517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-3373120</wp:posOffset>
            </wp:positionV>
            <wp:extent cx="711517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-3064510</wp:posOffset>
            </wp:positionV>
            <wp:extent cx="71151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-2430145</wp:posOffset>
            </wp:positionV>
            <wp:extent cx="711517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-2121535</wp:posOffset>
            </wp:positionV>
            <wp:extent cx="711517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-1812925</wp:posOffset>
            </wp:positionV>
            <wp:extent cx="711517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-1504315</wp:posOffset>
            </wp:positionV>
            <wp:extent cx="711517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-1195705</wp:posOffset>
            </wp:positionV>
            <wp:extent cx="711517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-887095</wp:posOffset>
            </wp:positionV>
            <wp:extent cx="711517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-578485</wp:posOffset>
            </wp:positionV>
            <wp:extent cx="711517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-269875</wp:posOffset>
            </wp:positionV>
            <wp:extent cx="711517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-2755900</wp:posOffset>
            </wp:positionV>
            <wp:extent cx="711517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-3990340</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3" w:lineRule="exact"/>
        <w:rPr>
          <w:sz w:val="20"/>
          <w:szCs w:val="20"/>
          <w:color w:val="auto"/>
        </w:rPr>
      </w:pPr>
    </w:p>
    <w:p>
      <w:pPr>
        <w:ind w:left="280" w:right="240"/>
        <w:spacing w:after="0" w:line="280" w:lineRule="auto"/>
        <w:rPr>
          <w:sz w:val="20"/>
          <w:szCs w:val="20"/>
          <w:color w:val="auto"/>
        </w:rPr>
      </w:pPr>
      <w:r>
        <w:rPr>
          <w:rFonts w:ascii="Times New Roman" w:cs="Times New Roman" w:eastAsia="Times New Roman" w:hAnsi="Times New Roman"/>
          <w:sz w:val="16"/>
          <w:szCs w:val="16"/>
          <w:color w:val="auto"/>
        </w:rPr>
        <w:t>Common stock of $0.01 par value; 1,600.0 shares authorized; 432.2 and 428.8 shares issued, respectively, and 380.4 and 377.0 shares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-271780</wp:posOffset>
            </wp:positionV>
            <wp:extent cx="7115175"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6"/>
          <w:szCs w:val="16"/>
          <w:color w:val="auto"/>
        </w:rPr>
        <w:t>Treasury stock at cost, 51.8 shares</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Accumulated other comprehensive income</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right"/>
        <w:ind w:right="20"/>
        <w:spacing w:after="0"/>
        <w:tabs>
          <w:tab w:leader="none" w:pos="80" w:val="left"/>
        </w:tabs>
        <w:rPr>
          <w:sz w:val="20"/>
          <w:szCs w:val="20"/>
          <w:color w:val="auto"/>
        </w:rPr>
      </w:pPr>
      <w:r>
        <w:rPr>
          <w:rFonts w:ascii="Times New Roman" w:cs="Times New Roman" w:eastAsia="Times New Roman" w:hAnsi="Times New Roman"/>
          <w:sz w:val="16"/>
          <w:szCs w:val="16"/>
          <w:color w:val="auto"/>
        </w:rPr>
        <w:t>779.2</w:t>
        <w:tab/>
        <w: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1.5</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180.0</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108.2</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1,068.9</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96.4</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118.6</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401.0</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1,695.7</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173.7</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17.3</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115.3</w:t>
      </w:r>
    </w:p>
    <w:p>
      <w:pPr>
        <w:spacing w:after="0" w:line="46" w:lineRule="exact"/>
        <w:rPr>
          <w:sz w:val="20"/>
          <w:szCs w:val="20"/>
          <w:color w:val="auto"/>
        </w:rPr>
      </w:pPr>
    </w:p>
    <w:p>
      <w:pPr>
        <w:jc w:val="center"/>
        <w:ind w:left="-39"/>
        <w:spacing w:after="0"/>
        <w:tabs>
          <w:tab w:leader="none" w:pos="160" w:val="left"/>
        </w:tabs>
        <w:rPr>
          <w:sz w:val="20"/>
          <w:szCs w:val="20"/>
          <w:color w:val="auto"/>
        </w:rPr>
      </w:pPr>
      <w:r>
        <w:rPr>
          <w:rFonts w:ascii="Times New Roman" w:cs="Times New Roman" w:eastAsia="Times New Roman" w:hAnsi="Times New Roman"/>
          <w:sz w:val="16"/>
          <w:szCs w:val="16"/>
          <w:color w:val="auto"/>
        </w:rPr>
        <w:t>3,686.9</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46355</wp:posOffset>
            </wp:positionV>
            <wp:extent cx="9258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20"/>
        <w:spacing w:after="0"/>
        <w:tabs>
          <w:tab w:leader="none" w:pos="80" w:val="left"/>
        </w:tabs>
        <w:rPr>
          <w:sz w:val="20"/>
          <w:szCs w:val="20"/>
          <w:color w:val="auto"/>
        </w:rPr>
      </w:pPr>
      <w:r>
        <w:rPr>
          <w:rFonts w:ascii="Times New Roman" w:cs="Times New Roman" w:eastAsia="Times New Roman" w:hAnsi="Times New Roman"/>
          <w:sz w:val="16"/>
          <w:szCs w:val="16"/>
          <w:color w:val="auto"/>
        </w:rPr>
        <w:t>11.1</w:t>
        <w:tab/>
        <w:t>$</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87.3</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459.0</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25.4</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20320</wp:posOffset>
            </wp:positionV>
            <wp:extent cx="9258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904.1</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2,375.4</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370.0</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108.3</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5.1</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20320</wp:posOffset>
            </wp:positionV>
            <wp:extent cx="9258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4,150.0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4.3</w:t>
      </w:r>
    </w:p>
    <w:p>
      <w:pPr>
        <w:spacing w:after="0" w:line="59"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6"/>
          <w:szCs w:val="16"/>
          <w:color w:val="auto"/>
        </w:rPr>
        <w:t>(603.5)</w:t>
      </w:r>
    </w:p>
    <w:p>
      <w:pPr>
        <w:spacing w:after="0" w:line="59"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1,436.2</w:t>
      </w:r>
    </w:p>
    <w:p>
      <w:pPr>
        <w:spacing w:after="0" w:line="59"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8.6</w:t>
      </w:r>
    </w:p>
    <w:p>
      <w:pPr>
        <w:spacing w:after="0" w:line="59"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5"/>
          <w:szCs w:val="15"/>
          <w:color w:val="auto"/>
        </w:rPr>
        <w:t>(1,308.7)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684.2</w:t>
      </w:r>
    </w:p>
    <w:p>
      <w:pPr>
        <w:spacing w:after="0" w:line="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136.0</w:t>
      </w:r>
    </w:p>
    <w:p>
      <w:pPr>
        <w:spacing w:after="0" w:line="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1.5</w:t>
      </w:r>
    </w:p>
    <w:p>
      <w:pPr>
        <w:spacing w:after="0" w:line="8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161.8</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80.4</w:t>
      </w:r>
    </w:p>
    <w:p>
      <w:pPr>
        <w:spacing w:after="0" w:line="8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1,063.9</w:t>
      </w:r>
    </w:p>
    <w:p>
      <w:pPr>
        <w:spacing w:after="0" w:line="4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102.9</w:t>
      </w:r>
    </w:p>
    <w:p>
      <w:pPr>
        <w:spacing w:after="0" w:line="4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124.2</w:t>
      </w:r>
    </w:p>
    <w:p>
      <w:pPr>
        <w:spacing w:after="0" w:line="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425.7</w:t>
      </w:r>
    </w:p>
    <w:p>
      <w:pPr>
        <w:spacing w:after="0" w:line="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1,695.7</w:t>
      </w:r>
    </w:p>
    <w:p>
      <w:pPr>
        <w:spacing w:after="0" w:line="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173.2</w:t>
      </w:r>
    </w:p>
    <w:p>
      <w:pPr>
        <w:spacing w:after="0" w:line="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17.5</w:t>
      </w:r>
    </w:p>
    <w:p>
      <w:pPr>
        <w:spacing w:after="0" w:line="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115.8</w:t>
      </w:r>
    </w:p>
    <w:p>
      <w:pPr>
        <w:spacing w:after="0" w:line="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3,718.9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46355</wp:posOffset>
            </wp:positionV>
            <wp:extent cx="9258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11.1</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80.3</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454.0</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27.5</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395.0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20320</wp:posOffset>
            </wp:positionV>
            <wp:extent cx="9258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967.9</w:t>
      </w:r>
    </w:p>
    <w:p>
      <w:pPr>
        <w:spacing w:after="0" w:line="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2,378.0</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280.0</w:t>
      </w:r>
    </w:p>
    <w:p>
      <w:pPr>
        <w:spacing w:after="0" w:line="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115.4</w:t>
      </w:r>
    </w:p>
    <w:p>
      <w:pPr>
        <w:spacing w:after="0" w:line="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8.2</w:t>
      </w:r>
    </w:p>
    <w:p>
      <w:pPr>
        <w:spacing w:after="0" w:line="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37465</wp:posOffset>
            </wp:positionV>
            <wp:extent cx="9258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4,130.3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4.3</w:t>
      </w:r>
    </w:p>
    <w:p>
      <w:pPr>
        <w:spacing w:after="0" w:line="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(603.5)</w:t>
      </w:r>
    </w:p>
    <w:p>
      <w:pPr>
        <w:spacing w:after="0" w:line="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1,423.1</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15.9</w:t>
      </w:r>
    </w:p>
    <w:p>
      <w:pPr>
        <w:spacing w:after="0" w:line="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(1,251.2)</w:t>
      </w:r>
    </w:p>
    <w:p>
      <w:pPr>
        <w:spacing w:after="0" w:line="53" w:lineRule="exact"/>
        <w:rPr>
          <w:sz w:val="20"/>
          <w:szCs w:val="20"/>
          <w:color w:val="auto"/>
        </w:rPr>
      </w:pPr>
    </w:p>
    <w:p>
      <w:pPr>
        <w:sectPr>
          <w:pgSz w:w="11900" w:h="16838" w:orient="portrait"/>
          <w:cols w:equalWidth="0" w:num="3">
            <w:col w:w="8340" w:space="720"/>
            <w:col w:w="820" w:space="720"/>
            <w:col w:w="620"/>
          </w:cols>
          <w:pgMar w:left="320" w:top="1089" w:right="35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8200" w:type="dxa"/>
            <w:vAlign w:val="bottom"/>
            <w:tcBorders>
              <w:bottom w:val="single" w:sz="8" w:color="CCEEFF"/>
            </w:tcBorders>
          </w:tcPr>
          <w:p>
            <w:pPr>
              <w:jc w:val="center"/>
              <w:ind w:right="5319"/>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5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8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(411.4)</w:t>
            </w:r>
          </w:p>
        </w:tc>
      </w:tr>
      <w:tr>
        <w:trPr>
          <w:trHeight w:val="232"/>
        </w:trPr>
        <w:tc>
          <w:tcPr>
            <w:tcW w:w="8200" w:type="dxa"/>
            <w:vAlign w:val="bottom"/>
            <w:tcBorders>
              <w:bottom w:val="single" w:sz="8" w:color="CCEEFF"/>
            </w:tcBorders>
            <w:shd w:val="clear" w:color="auto" w:fill="CCEEFF"/>
          </w:tcPr>
          <w:p>
            <w:pPr>
              <w:jc w:val="center"/>
              <w:ind w:right="5319"/>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3,686.9</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108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5" w:name="page6"/>
    <w:bookmarkEnd w:id="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706.0</w:t>
            </w:r>
          </w:p>
        </w:tc>
      </w:tr>
      <w:tr>
        <w:trPr>
          <w:trHeight w:val="21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Cost of revenue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r>
      <w:tr>
        <w:trPr>
          <w:trHeight w:val="213"/>
        </w:trPr>
        <w:tc>
          <w:tcPr>
            <w:tcW w:w="8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r>
      <w:tr>
        <w:trPr>
          <w:trHeight w:val="21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13"/>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12"/>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638.2</w:t>
            </w:r>
          </w:p>
        </w:tc>
      </w:tr>
      <w:tr>
        <w:trPr>
          <w:trHeight w:val="20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1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and other,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0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1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derivatives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7"/>
        </w:trPr>
        <w:tc>
          <w:tcPr>
            <w:tcW w:w="82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common stockholders, basic</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common stockholders, diluted</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shares used in computing net income (loss) per share attributable to common stockholders, basic</w:t>
            </w: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shares used in computing net income (loss) per share attributable to common stockholders, diluted</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376.0</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21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40" w:type="dxa"/>
            <w:vAlign w:val="bottom"/>
          </w:tcPr>
          <w:p>
            <w:pPr>
              <w:spacing w:after="0"/>
              <w:rPr>
                <w:sz w:val="17"/>
                <w:szCs w:val="17"/>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January 1, 2026</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(603.5)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0" w:type="dxa"/>
            <w:vAlign w:val="bottom"/>
          </w:tcPr>
          <w:p>
            <w:pPr>
              <w:spacing w:after="0"/>
              <w:rPr>
                <w:sz w:val="1"/>
                <w:szCs w:val="1"/>
                <w:color w:val="auto"/>
              </w:rPr>
            </w:pPr>
          </w:p>
        </w:tc>
      </w:tr>
      <w:tr>
        <w:trPr>
          <w:trHeight w:val="213"/>
        </w:trPr>
        <w:tc>
          <w:tcPr>
            <w:tcW w:w="2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162"/>
        </w:trPr>
        <w:tc>
          <w:tcPr>
            <w:tcW w:w="272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Issuance of shares upon vesting of</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RSUs and PSUs</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Income tax withholding related to</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vesting of RSUs and other</w:t>
            </w: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37"/>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March 31, 2026</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(603.5)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2720" w:type="dxa"/>
            <w:vAlign w:val="bottom"/>
          </w:tcPr>
          <w:p>
            <w:pPr>
              <w:spacing w:after="0"/>
              <w:rPr>
                <w:sz w:val="24"/>
                <w:szCs w:val="24"/>
                <w:color w:val="auto"/>
              </w:rPr>
            </w:pPr>
          </w:p>
        </w:tc>
        <w:tc>
          <w:tcPr>
            <w:tcW w:w="21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40" w:type="dxa"/>
            <w:vAlign w:val="bottom"/>
          </w:tcPr>
          <w:p>
            <w:pPr>
              <w:spacing w:after="0"/>
              <w:rPr>
                <w:sz w:val="17"/>
                <w:szCs w:val="17"/>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16"/>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January 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(603.5)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213"/>
        </w:trPr>
        <w:tc>
          <w:tcPr>
            <w:tcW w:w="2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Cash dividend declared ($0.10 per</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w:t>
            </w: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162"/>
        </w:trPr>
        <w:tc>
          <w:tcPr>
            <w:tcW w:w="272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Issuance of shares upon vesting of</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RSUs and PSUs</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Income tax withholding related to</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vesting of RSUs and other</w:t>
            </w: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7"/>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March 31,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(603.5)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Represents an amount less than 0.1 or $0.1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 (loss)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1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13"/>
        </w:trPr>
        <w:tc>
          <w:tcPr>
            <w:tcW w:w="82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9"/>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Amortization of loan discount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82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9"/>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Change in deferred taxes, net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82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Loss (gain) from foreign currency</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Non-cash lease expense (income), net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82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9"/>
        </w:trPr>
        <w:tc>
          <w:tcPr>
            <w:tcW w:w="82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822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82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Accrued expenses and other current and non-current liabilities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207"/>
        </w:trPr>
        <w:tc>
          <w:tcPr>
            <w:tcW w:w="822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Capitalization of internal use software costs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8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software for internal use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short-term investments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9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1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822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w:t>
            </w: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Dividend paid</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1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Repayments on bank borrowings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8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 of tax withholdings on stock-based payments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Payment for share buyback</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7"/>
        </w:trPr>
        <w:tc>
          <w:tcPr>
            <w:tcW w:w="822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 and restricted cash</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r>
      <w:tr>
        <w:trPr>
          <w:trHeight w:val="21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beginning of the period</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r>
      <w:tr>
        <w:trPr>
          <w:trHeight w:val="21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 of the period</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436.3</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spacing w:after="0" w:line="11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1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financing and 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purchases of property and equipment and intangible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8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Right-of-use assets acquired under operating leases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1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Capitalization of stock-based compensation costs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8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dividend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specified otherwise)</w:t>
      </w:r>
    </w:p>
    <w:p>
      <w:pPr>
        <w:spacing w:after="0" w:line="23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 AND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organization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Playtika Holding Corp. (“Playtika”) and its subsidiaries (together with Playtika, the “Company”) is one of the world’s leading developers of mobile games creating fun, innovative experiences that entertain and engage its users. It has built best-in-class live game operations services and a proprietary technology platform to support its portfolio of games which enable it to drive strong user engagement and monetization. The Company’s games are free-to-play, and the Company seeks to provide novel, curated in-game content and offers to its users at optimal points in their game journeys to drive user engagement and monetization.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(“U.S. GAAP”) and include Playtika and all subsidiaries in which the Company has a controlling financial interest. Control generally equates to ownership percentage, whereby (i) affiliates that are more than 50% owned are consolidated; (ii) investments in affiliates of 50% or less but greater than 20% are generally accounted for using the equity method where the Company has determined that it has significant influence over the entities; and (iii) investments in affiliates of 20% or less are generally accounted for at cost minus impairment, if any, plus or minus changes resulting from observable price changes in orderly transactions for the identical or a similar investment of the same issuer.</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significant accounting policies referenced in the annual consolidated financial statements of the Company as of December 31, 2025 have been applied consistently in these unaudited interim consolidated financial statements. In the opinion of management, all adjustments considered necessary for a fair presentation have been recorded within the accompanying financial statements, consisting of normal, recurring adjustments, and all intercompany balances and transactions have been eliminated in the consolidation. Operating results for the three months ended March 31, 2026 are not necessarily indicative of the results that may be expected for the year ending December 31, 2026. For further information, reference is made to the consolidated financial statements and footnotes thereto included in the Company's Annual Report on Form 10-K for the year ended December 31, 2025, as filed with the SEC on February 26,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United States dollars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currency of the primary economic environment in which the operations of Playtika and its subsidiaries are conducted is the U.S. dollar ("dollar"); thus, the dollar is the functional currency of Playtika and its subsidiaries. Playtika and its subsidiaries' transactions and balances denominated in dollars are presented at their original amounts. Non-dollar transactions and balances have been remeasured to dollars in accordance with ASC 830, Foreign Currency Matters. All transaction gains and losses from remeasurement of monetary balance sheet items denominated in non-dollar currencies are reflected as financial income or expenses, as appropriate.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the Company changed the functional currency of a certain subsidiary from its respective local currency to the U.S. dollar. The change in functional currency is due to increased exposure to the U.S. dollar as a result of a change in facts and circumstances in the primary economic environment in which the subsidiary operates.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interim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liabilities at the dates of the financial statements, and the reported amounts of revenues and expenses during the reporting periods. Actual results could differ from those estimates.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0" w:name="page11"/>
    <w:bookmarkEnd w:id="10"/>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expose the Company to concentrations of credit risk, consist primarily of cash and cash equivalents, short-term investments, restricted cash, accounts receivable and derivative contracts. The Company’s investment policy imposes certain maturity limits on the Company’s portfolio and restricts the permitted investments to the purchase of bank deposits and highly rated fixed income securities.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Apple and Google are significant distribution and payment platforms for the Company's games. A significant portion of the Company’s revenues has been generated from players who accessed the Company's games through these platforms. Therefore, the Company's accounts receivable are derived mainly from sales through these two platforms.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major accounts receivable of the Company as a percentage of the total accounts receivable as of the dates indicated: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260" w:type="dxa"/>
            <w:vAlign w:val="bottom"/>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760" w:type="dxa"/>
            <w:vAlign w:val="bottom"/>
          </w:tcPr>
          <w:p>
            <w:pPr>
              <w:jc w:val="center"/>
              <w:ind w:left="2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00" w:type="dxa"/>
            <w:vAlign w:val="bottom"/>
          </w:tcPr>
          <w:p>
            <w:pPr>
              <w:spacing w:after="0"/>
              <w:rPr>
                <w:sz w:val="18"/>
                <w:szCs w:val="18"/>
                <w:color w:val="auto"/>
              </w:rPr>
            </w:pPr>
          </w:p>
        </w:tc>
        <w:tc>
          <w:tcPr>
            <w:tcW w:w="1260" w:type="dxa"/>
            <w:vAlign w:val="bottom"/>
            <w:tcBorders>
              <w:bottom w:val="single" w:sz="8" w:color="auto"/>
            </w:tcBorders>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76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45"/>
        </w:trPr>
        <w:tc>
          <w:tcPr>
            <w:tcW w:w="82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354"/>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w:t>
            </w:r>
          </w:p>
        </w:tc>
        <w:tc>
          <w:tcPr>
            <w:tcW w:w="126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58%</w:t>
            </w:r>
          </w:p>
        </w:tc>
        <w:tc>
          <w:tcPr>
            <w:tcW w:w="1760" w:type="dxa"/>
            <w:vAlign w:val="bottom"/>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6"/>
              </w:rPr>
              <w:t>56%</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Google</w:t>
            </w:r>
          </w:p>
        </w:tc>
        <w:tc>
          <w:tcPr>
            <w:tcW w:w="126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rPr>
              <w:t>26%</w:t>
            </w:r>
          </w:p>
        </w:tc>
        <w:tc>
          <w:tcPr>
            <w:tcW w:w="176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6"/>
              </w:rPr>
              <w:t>28%</w:t>
            </w:r>
          </w:p>
        </w:tc>
      </w:tr>
    </w:tbl>
    <w:p>
      <w:pPr>
        <w:spacing w:after="0" w:line="3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Accounts receivable are recorded at their transaction amounts and do not bear interest. The Company bases its allowance for credit losses on management's best estimate of the amount of probable credit losses in the Company's existing accounts receivable based on historical collection experience and current economic and market conditions. There were no credit losses for the three months ended March 31, 2026 and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Pay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14, 2026, the Company announced a reduction in workforce by approximately fifteen percent, which was substantially complete during the first quarter of 2026. Severance liabilities associated with this reduction in force were recognized as incurred within operating expenses on the consolidated statements of comprehensive income and totaled approximately $13.6 million for the three months ended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Short-term investments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with maturities of three months or less from the date of purchase. Cash equivalents include investments in term deposits, commercial papers and money market funds that can be redeemed immediately at the current net asset value.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with maturities of more than three months but less than one year from the date of purchase are included in short-term investments. Such short-term investments include investments in commercial papers.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investments in debt securities in accordance with ASC No. 320, "</w:t>
      </w:r>
      <w:r>
        <w:rPr>
          <w:rFonts w:ascii="Times New Roman" w:cs="Times New Roman" w:eastAsia="Times New Roman" w:hAnsi="Times New Roman"/>
          <w:sz w:val="18"/>
          <w:szCs w:val="18"/>
          <w:i w:val="1"/>
          <w:iCs w:val="1"/>
          <w:color w:val="auto"/>
        </w:rPr>
        <w:t>Investments - Debt Securities</w:t>
      </w:r>
      <w:r>
        <w:rPr>
          <w:rFonts w:ascii="Times New Roman" w:cs="Times New Roman" w:eastAsia="Times New Roman" w:hAnsi="Times New Roman"/>
          <w:sz w:val="18"/>
          <w:szCs w:val="18"/>
          <w:color w:val="auto"/>
        </w:rPr>
        <w:t>". The Company determines the appropriate classification of its investments at the time of purchase and reevaluates such designation at each balance sheet date. Unrealized gains and losses, net of tax, reported in accumulated other comprehensive income (loss) in shareholders' deficit. Gains and losses are determined using the specific identification method and recognized when realized in the consolidated statements of comprehensive income.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periodically evaluates its available-for-sale debt securities for impairment in accordance with ASU 2016-13, </w:t>
      </w:r>
      <w:r>
        <w:rPr>
          <w:rFonts w:ascii="Times New Roman" w:cs="Times New Roman" w:eastAsia="Times New Roman" w:hAnsi="Times New Roman"/>
          <w:sz w:val="18"/>
          <w:szCs w:val="18"/>
          <w:i w:val="1"/>
          <w:iCs w:val="1"/>
          <w:color w:val="auto"/>
        </w:rPr>
        <w:t>Financial Instruments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 Measurement of Credit Losses on Financial Instruments</w:t>
      </w:r>
      <w:r>
        <w:rPr>
          <w:rFonts w:ascii="Times New Roman" w:cs="Times New Roman" w:eastAsia="Times New Roman" w:hAnsi="Times New Roman"/>
          <w:sz w:val="18"/>
          <w:szCs w:val="18"/>
          <w:color w:val="auto"/>
        </w:rPr>
        <w:t>. If the amortized cost of an individual security exceeds its fair value,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considers its intent to sell the security or whether it is more likely than not that it will be required to sell the security before recovery of its amortized basis. If either of these criteria are met, the Company writes down the security to its fair value and records the impairment charge in the Consolidated Statements of Comprehensive Loss. If neither of these criteria are met, the Company assesses whether credit loss exists.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making this assessment, the Company considers the extent to which fair value is less than amortized cost, any changes to the rating of the security by a rating agency, and any adverse conditions specifically related to the security, among other factors. If this assessment indicates that a credit loss may exist,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will be recorded, limited by the amount that the fair value is less than the amortized cost basis. Any additional impairment not recorded through an allowance for credit losses is recognized in other comprehensive income (loss).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credit losses were immaterial.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uses interest rate swap contracts to reduce its exposure to fluctuating interest rates associated with the Company’s variable rate debt, and to effectively increase the portion of debt upon which the Company pays a fixed interest rate. The Company’s interest rate swap agreements are designated as cash flow hedges under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involving the receipt of variable amounts from a counterparty in exchange for the Company making fixed-rate payments over the life of the agreement, without the exchange of the underlying notional amount. These hedges are highly effective in offsetting changes in the Company’s future expected cash flows due to the fluctuation of the Company’s variable rate debt.</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monitors the effectiveness of its hedges on a quarterly basis, both qualitatively and quantitatively. The Company performed a regression analysis at inception of the hedging relationship and at period end in which it compared the change in the fair value of the swap transaction and the change in fair value of a hypothetical interest rate swap having terms that identically match the terms of the debt's interest rate payments based on historical swap rates. Based upon this analysis, the Company concluded that the hedging instruments are expected to be highly effective at offsetting changes in the hedged transactions attributable to the risk being hedged. For each future reporting period, the Company will continue performing retrospective and prospective assessments of hedge effectiveness in a single regression analysis by updating the regression analysis that was prepared at the inception of the hedging relationship.</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foreign currency derivative contracts to reduce its exposure to fluctuating exchange rates between the United States dollar (as the Company’s functional currency) and certain expense lines denominated in Euros (“EUR”), Israeli Shekels (“ILS”), Polish Zloty (“PLN”) and Romanian Leu (“RON”). The Company’s derivative contracts are designated as cash flow hedges under ASC 815. The Company monitors the effectiveness of its hedges on a quarterly basis, both qualitatively and quantitatively, and expects these hedges to remain highly effective at offsetting fluctuations in exchange rates through their respective maturity dates. See </w:t>
      </w:r>
      <w:r>
        <w:rPr>
          <w:rFonts w:ascii="Times New Roman" w:cs="Times New Roman" w:eastAsia="Times New Roman" w:hAnsi="Times New Roman"/>
          <w:sz w:val="18"/>
          <w:szCs w:val="18"/>
          <w:i w:val="1"/>
          <w:iCs w:val="1"/>
          <w:color w:val="auto"/>
        </w:rPr>
        <w:t>Note 6, Derivative Instruments,</w:t>
      </w:r>
      <w:r>
        <w:rPr>
          <w:rFonts w:ascii="Times New Roman" w:cs="Times New Roman" w:eastAsia="Times New Roman" w:hAnsi="Times New Roman"/>
          <w:sz w:val="18"/>
          <w:szCs w:val="18"/>
          <w:color w:val="auto"/>
        </w:rPr>
        <w:t xml:space="preserve"> for additional discussion.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fair value of derivative financial instruments is recognized as an asset or liability at each balance sheet date, with changes in fair value recorded in other comprehensive income on the consolidated statements of comprehensive income until the future underlying transactions occur. The fair value approximates the amount the Company would pay or receive if these contracts were settled at the respective valuation dates. The inputs used to measure the fair value of the Company’s interest rate swap agreements and foreign currency derivative contracts are categorized as Level 2 in the fair value hierarchy as established by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See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for additional discussion.</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derivatives, which are designated as accounting hedges, are presented consistently with the cash flow classification of the related hedged items.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unconsolidated entities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holds certain equity investments in various unconsolidated entities that, based upon the structure of the investment, are not within the scope of equity method investment accounting that would lead to the consolidation conclusions above. Instead, these investments fall within the scope of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 permitted within that guidance, the Company has elected to account for these investments at cost less impairment, adjusted for changes in fair value from observable transactions for identical or similar investments of the same issuer as of the respective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dates. During the three months ended March 31, 2026 and 2025, no changes were recorded due to impairment or changes in fair value.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attributable to common stockholders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all periods presented herein, basic net income (loss) per share is calculated by dividing net income by the weighted-average common shares outstanding. Diluted net income (loss) per share reflects the effect of all potentially dilutive common shares outstanding by dividing net income (loss) by the weighted-average of all common and potentially dilutive shares outstanding. Performance Stock Units (“PSUs”) are considered potentially dilutive as of the first day of the reporting period in which the underlying performance metric is achieved. In the event of a loss, diluted shares are not considered because of their anti-dilutive effect. The Company uses the treasury stock method on a grant-by-grant basis as the method for determining the dilutive effect of options, Restricted Stock Units (“RSUs”) and PSUs. Under this method, it is assumed that the hypothetical proceeds received upon settlement are used to repurchase common shares at the average market price during the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 by the Company</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w:t>
      </w:r>
      <w:r>
        <w:rPr>
          <w:rFonts w:ascii="Times New Roman" w:cs="Times New Roman" w:eastAsia="Times New Roman" w:hAnsi="Times New Roman"/>
          <w:sz w:val="18"/>
          <w:szCs w:val="18"/>
          <w:color w:val="auto"/>
        </w:rPr>
        <w:t>, which addresses authoritative guidance on the accounting for government grants received by business entities. ASU 2025-10 is effective for fiscal years beginning after December 15, 2028, including interim periods within those fiscal years, with early adoption permitted. The Company is currently evaluating the impact of adopting ASU 2025-10.</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w:t>
      </w:r>
    </w:p>
    <w:p>
      <w:pPr>
        <w:spacing w:after="0" w:line="200" w:lineRule="exact"/>
        <w:rPr>
          <w:sz w:val="20"/>
          <w:szCs w:val="20"/>
          <w:color w:val="auto"/>
        </w:rPr>
      </w:pPr>
    </w:p>
    <w:p>
      <w:pPr>
        <w:spacing w:after="0" w:line="25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SHORT-TERM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 at December 31, 2025 are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5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 credit</w:t>
            </w:r>
          </w:p>
        </w:tc>
        <w:tc>
          <w:tcPr>
            <w:tcW w:w="120" w:type="dxa"/>
            <w:vAlign w:val="bottom"/>
          </w:tcPr>
          <w:p>
            <w:pPr>
              <w:spacing w:after="0"/>
              <w:rPr>
                <w:sz w:val="13"/>
                <w:szCs w:val="13"/>
                <w:color w:val="auto"/>
              </w:rPr>
            </w:pPr>
          </w:p>
        </w:tc>
        <w:tc>
          <w:tcPr>
            <w:tcW w:w="14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20" w:type="dxa"/>
            <w:vAlign w:val="bottom"/>
          </w:tcPr>
          <w:p>
            <w:pPr>
              <w:spacing w:after="0"/>
              <w:rPr>
                <w:sz w:val="13"/>
                <w:szCs w:val="13"/>
                <w:color w:val="auto"/>
              </w:rPr>
            </w:pPr>
          </w:p>
        </w:tc>
        <w:tc>
          <w:tcPr>
            <w:tcW w:w="1340" w:type="dxa"/>
            <w:vAlign w:val="bottom"/>
          </w:tcPr>
          <w:p>
            <w:pPr>
              <w:jc w:val="center"/>
              <w:ind w:right="34"/>
              <w:spacing w:after="0" w:line="158" w:lineRule="exact"/>
              <w:rPr>
                <w:sz w:val="20"/>
                <w:szCs w:val="20"/>
                <w:color w:val="auto"/>
              </w:rPr>
            </w:pPr>
            <w:r>
              <w:rPr>
                <w:rFonts w:ascii="Times New Roman" w:cs="Times New Roman" w:eastAsia="Times New Roman" w:hAnsi="Times New Roman"/>
                <w:sz w:val="16"/>
                <w:szCs w:val="16"/>
                <w:b w:val="1"/>
                <w:bCs w:val="1"/>
                <w:color w:val="auto"/>
              </w:rPr>
              <w:t>Unrealized losses,</w:t>
            </w:r>
          </w:p>
        </w:tc>
        <w:tc>
          <w:tcPr>
            <w:tcW w:w="0" w:type="dxa"/>
            <w:vAlign w:val="bottom"/>
          </w:tcPr>
          <w:p>
            <w:pPr>
              <w:spacing w:after="0"/>
              <w:rPr>
                <w:sz w:val="1"/>
                <w:szCs w:val="1"/>
                <w:color w:val="auto"/>
              </w:rPr>
            </w:pPr>
          </w:p>
        </w:tc>
      </w:tr>
      <w:tr>
        <w:trPr>
          <w:trHeight w:val="214"/>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8"/>
                <w:szCs w:val="18"/>
                <w:color w:val="auto"/>
              </w:rPr>
            </w:pPr>
          </w:p>
        </w:tc>
        <w:tc>
          <w:tcPr>
            <w:tcW w:w="13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5"/>
              </w:rPr>
              <w:t>gross</w:t>
            </w:r>
          </w:p>
        </w:tc>
        <w:tc>
          <w:tcPr>
            <w:tcW w:w="0" w:type="dxa"/>
            <w:vAlign w:val="bottom"/>
          </w:tcPr>
          <w:p>
            <w:pPr>
              <w:spacing w:after="0"/>
              <w:rPr>
                <w:sz w:val="1"/>
                <w:szCs w:val="1"/>
                <w:color w:val="auto"/>
              </w:rPr>
            </w:pP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short-term investments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3.</w:t>
        <w:tab/>
        <w:t>ACCRUED EXPENSES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at March 31, 2026 and December 31, 2025 are as follows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362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 buy</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 and related expenses</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accruals</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payable</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88"/>
        </w:trPr>
        <w:tc>
          <w:tcPr>
            <w:tcW w:w="5160" w:type="dxa"/>
            <w:vAlign w:val="bottom"/>
            <w:tcBorders>
              <w:top w:val="single" w:sz="8" w:color="CCEEFF"/>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46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2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DEBT</w:t>
            </w: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6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6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5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interest rates)</w:t>
            </w: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5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Pr>
          <w:p>
            <w:pPr>
              <w:spacing w:after="0"/>
              <w:rPr>
                <w:sz w:val="13"/>
                <w:szCs w:val="13"/>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180" w:type="dxa"/>
            <w:vAlign w:val="bottom"/>
          </w:tcPr>
          <w:p>
            <w:pPr>
              <w:spacing w:after="0"/>
              <w:rPr>
                <w:sz w:val="13"/>
                <w:szCs w:val="13"/>
                <w:color w:val="auto"/>
              </w:rPr>
            </w:pPr>
          </w:p>
        </w:tc>
        <w:tc>
          <w:tcPr>
            <w:tcW w:w="1280" w:type="dxa"/>
            <w:vAlign w:val="bottom"/>
            <w:vMerge w:val="restart"/>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0" w:type="dxa"/>
            <w:vAlign w:val="bottom"/>
          </w:tcPr>
          <w:p>
            <w:pPr>
              <w:spacing w:after="0"/>
              <w:rPr>
                <w:sz w:val="1"/>
                <w:szCs w:val="1"/>
                <w:color w:val="auto"/>
              </w:rPr>
            </w:pPr>
          </w:p>
        </w:tc>
      </w:tr>
      <w:tr>
        <w:trPr>
          <w:trHeight w:val="216"/>
        </w:trPr>
        <w:tc>
          <w:tcPr>
            <w:tcW w:w="362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2,389.1</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36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Book value of debt in the table above is reported net of deferred financing costs and original issue discount of $18.5 million and $20.7 million at March 31, 2026 and December 31,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$1.9 billion senior secured first lien term loan (the “Term Loan”) maturing on March 11, 2028 and a $550 million revolving credit facility (the “Revolving Credit Facility”) (together, the “Credit Agreement”), maturing on March 6, 2027 (subject to certain conditions, see below). The Term Loan requires quarterly principal payments equal to 0.25% of the original aggregate principal amount of the Term Loan with balance due at maturity.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a maximum first-priority net senior secured leverage ratio financial maintenance covenant of 6.25 to 1.0. At March 31, 2026, the Company’s first-priority net senior secured leverage ratio was 1.4 to 1.0.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its financial and other covenants under the Credit Agreement as of March 31, 2026.</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2025, the Company entered into a Fourth Amendment (the “Fourth Amendment”) to the Credit Agreement which, among other things, (a) amended the Pricing Grid (as defined in the Credit Agreement) for the Company’s revolving credit facility under the Credit Agreement (the “Revolving Credit Facility”), and (b) decreased the aggregate principal amount of the Revolving Credit Facility from $600 million to $550 million. The Fourth Amendment was also intended to extend the maturity of the Revolving Credit Facility to September 11, 2027, subject to the Credit Agreement being filed and registered with the National Development and Reform Commission of the People’s Republic of China (the “NDRC”) unless the NDRC states in writing that such registration is not required. This filing requirement with the NDRC is required of the Company’s controlling shareholder due to the fact that the controlling shareholder is controlled by a citizen of the People’s Republic of China. On December 9, 2025, the Company’s controlling shareholder elected to withdraw its filing of the Credit Agreement with the NDRC and, as a result, the maturity of the Revolving Credit Facility was not extended under the Fourth Amendment.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4" w:name="page15"/>
    <w:bookmarkEnd w:id="14"/>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16, 2026, the Company entered into an Incremental Assumption Agreement No. 4 and Fifth Amendment (the “Fifth Amendment”) to the Credit Agreement which, among other things, effected a refinancing of the Company’s existing $550 million revolving credit facility under the Credit Agreement (the “New Revolving Credit Facility”) on March 11, 2026 subject to the satisfaction of certain conditions set forth therein. The New Revolving Credit Facility will mature on March 6, 2027. Other than the revised maturity date, the New Revolving Credit Facility retains the same material terms as the Company’s existing revolving credit facility immediately prior to the effectiveness of the Fifth Amendment.</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Fourth Amendment, borrowings under the Revolving Credit Facility bear interest at a rate equal to, at the Company’s option, either (a) a forward-looking term rate based on the secured overnight financing rate for the applicable interest period (“Term SOFR”), subject to a floor of 0.00% or (b) a base rate determined by reference to the highest of (i) the federal funds rate plus 0.50%, (ii) the prime rate as determined by the administrative agent and (iii) the one-month Term SOFR plus 1.00% per annum, in each case plus an applicable margin. Such applicable margin with respect to the Revolving Credit Facility is 3.00% per annum in the case of any Term SOFR loan and 2.00% per annum in the case of any base rate loan, subject to three 0.25% step-downs based on the Company’s first lien net leverage ratio. In addition, on a quarterly basis, the Company is required to pay each lender under the Revolving Credit Facility a commitment fee in respect of any unused commitments under the Revolving Credit Facility in the amount of 0.50% of the principal amount of the unused commitments of such lender, subject to two 0.125% step-downs based on the Company’s first lien net leverage ratio.</w:t>
      </w:r>
    </w:p>
    <w:p>
      <w:pPr>
        <w:spacing w:after="0" w:line="2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Other than what is disclosed above, other significant terms and conditions of the Credit Agreement have not changed from what was disclosed in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in our Annual Report on Form 10-K filed with the SEC on February 26,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of 4.250% Senior Notes due 2029</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Indenture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11, 2021, the Company issued $600.0 million aggregate principal amount of its 4.250% senior notes due 2029 (the “Notes”) under an indenture, dated March 11, 2021 (the “Indenture”), among the Company, the subsidiary guarantors party thereto and Wilmington Trust, National Association, as trustee (the “Trustee”).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and Interest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mature on March 15, 2029. Interest on the Notes will accrue at a rate of 4.250% per annum. Interest on the Notes is payable semi-annually in cash in arrears on March 15 and September 15 of each year.</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significant terms and conditions of the Notes have not changed from what was disclosed in </w:t>
      </w:r>
      <w:r>
        <w:rPr>
          <w:rFonts w:ascii="Times New Roman" w:cs="Times New Roman" w:eastAsia="Times New Roman" w:hAnsi="Times New Roman"/>
          <w:sz w:val="18"/>
          <w:szCs w:val="18"/>
          <w:i w:val="1"/>
          <w:iCs w:val="1"/>
          <w:color w:val="auto"/>
        </w:rPr>
        <w:t>Note 13, Debt</w:t>
      </w:r>
      <w:r>
        <w:rPr>
          <w:rFonts w:ascii="Times New Roman" w:cs="Times New Roman" w:eastAsia="Times New Roman" w:hAnsi="Times New Roman"/>
          <w:sz w:val="18"/>
          <w:szCs w:val="18"/>
          <w:color w:val="auto"/>
        </w:rPr>
        <w:t xml:space="preserve"> in our Annual Report on Form 10-K filed with the SEC on February 26, 2026.</w:t>
      </w:r>
    </w:p>
    <w:p>
      <w:pPr>
        <w:spacing w:after="0" w:line="18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EQUITY TRANSACTIONS AND STOCK INCENTIVE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Stock Incentive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26, 2020, the Board of Directors of the Company approved the Playtika Holding Corp. 2020 Incentive Award Plan (the “Plan”).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 total of 63,970,413 shares of the Company’s common stock had been allocated to awards granted under the Plan and 16,231,005 shares remained available for future grants.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May 9, 2024, the Company announced that its Board of Directors authorized a stock repurchase program for up to $150 million of the Company’s common stock. Under the repurchase program, repurchases can be made using a variety of methods, which may include open market purchases, privately negotiated transactions or otherwise. The specific timing, price and size of purchases will depend on prevailing stock prices, general economic and market conditions, and other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considerations. The repurchase program does not obligate the Company to acquire any particular amount of common stock, and may be suspended or discontinued at any time at the Company’s discretion. There were no shares of common stock repurchased and retired during the three months ended March 31, 2026. As of March 31, 2026, $129.0 million remains available under the Company’s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during the three months ended March 31, 2026:</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8"/>
                <w:szCs w:val="18"/>
                <w:color w:val="auto"/>
              </w:rPr>
            </w:pPr>
          </w:p>
        </w:tc>
        <w:tc>
          <w:tcPr>
            <w:tcW w:w="120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Pr>
          <w:p>
            <w:pPr>
              <w:spacing w:after="0"/>
              <w:rPr>
                <w:sz w:val="18"/>
                <w:szCs w:val="18"/>
                <w:color w:val="auto"/>
              </w:rPr>
            </w:pPr>
          </w:p>
        </w:tc>
        <w:tc>
          <w:tcPr>
            <w:tcW w:w="120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3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6"/>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8"/>
                <w:szCs w:val="18"/>
                <w:color w:val="auto"/>
              </w:rPr>
            </w:pPr>
          </w:p>
        </w:tc>
        <w:tc>
          <w:tcPr>
            <w:tcW w:w="120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3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19"/>
        </w:trPr>
        <w:tc>
          <w:tcPr>
            <w:tcW w:w="5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0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(in years)</w:t>
            </w:r>
          </w:p>
        </w:tc>
        <w:tc>
          <w:tcPr>
            <w:tcW w:w="260" w:type="dxa"/>
            <w:vAlign w:val="bottom"/>
          </w:tcPr>
          <w:p>
            <w:pPr>
              <w:spacing w:after="0"/>
              <w:rPr>
                <w:sz w:val="19"/>
                <w:szCs w:val="19"/>
                <w:color w:val="auto"/>
              </w:rPr>
            </w:pPr>
          </w:p>
        </w:tc>
        <w:tc>
          <w:tcPr>
            <w:tcW w:w="120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Price</w:t>
            </w:r>
          </w:p>
        </w:tc>
        <w:tc>
          <w:tcPr>
            <w:tcW w:w="320" w:type="dxa"/>
            <w:vAlign w:val="bottom"/>
          </w:tcPr>
          <w:p>
            <w:pPr>
              <w:spacing w:after="0"/>
              <w:rPr>
                <w:sz w:val="19"/>
                <w:szCs w:val="19"/>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2026</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3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March 31,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grant-date fair value associated with all employee stock options. There were no options granted in the three months ended March 31, 2026 or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during the three months ended March 31, 2026:</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8"/>
                <w:szCs w:val="18"/>
                <w:color w:val="auto"/>
              </w:rPr>
            </w:pPr>
          </w:p>
        </w:tc>
        <w:tc>
          <w:tcPr>
            <w:tcW w:w="12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Total Fair</w:t>
            </w:r>
          </w:p>
        </w:tc>
      </w:tr>
      <w:tr>
        <w:trPr>
          <w:trHeight w:val="216"/>
        </w:trPr>
        <w:tc>
          <w:tcPr>
            <w:tcW w:w="6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8"/>
                <w:szCs w:val="18"/>
                <w:color w:val="auto"/>
              </w:rPr>
            </w:pPr>
          </w:p>
        </w:tc>
        <w:tc>
          <w:tcPr>
            <w:tcW w:w="12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Value of</w:t>
            </w:r>
          </w:p>
        </w:tc>
      </w:tr>
      <w:tr>
        <w:trPr>
          <w:trHeight w:val="216"/>
        </w:trPr>
        <w:tc>
          <w:tcPr>
            <w:tcW w:w="6680" w:type="dxa"/>
            <w:vAlign w:val="bottom"/>
          </w:tcPr>
          <w:p>
            <w:pPr>
              <w:spacing w:after="0"/>
              <w:rPr>
                <w:sz w:val="18"/>
                <w:szCs w:val="18"/>
                <w:color w:val="auto"/>
              </w:rPr>
            </w:pPr>
          </w:p>
        </w:tc>
        <w:tc>
          <w:tcPr>
            <w:tcW w:w="14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80" w:type="dxa"/>
            <w:vAlign w:val="bottom"/>
          </w:tcPr>
          <w:p>
            <w:pPr>
              <w:spacing w:after="0"/>
              <w:rPr>
                <w:sz w:val="18"/>
                <w:szCs w:val="18"/>
                <w:color w:val="auto"/>
              </w:rPr>
            </w:pPr>
          </w:p>
        </w:tc>
        <w:tc>
          <w:tcPr>
            <w:tcW w:w="128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Shares Vested</w:t>
            </w:r>
          </w:p>
        </w:tc>
      </w:tr>
      <w:tr>
        <w:trPr>
          <w:trHeight w:val="219"/>
        </w:trPr>
        <w:tc>
          <w:tcPr>
            <w:tcW w:w="6680" w:type="dxa"/>
            <w:vAlign w:val="bottom"/>
          </w:tcPr>
          <w:p>
            <w:pPr>
              <w:spacing w:after="0"/>
              <w:rPr>
                <w:sz w:val="19"/>
                <w:szCs w:val="19"/>
                <w:color w:val="auto"/>
              </w:rPr>
            </w:pPr>
          </w:p>
        </w:tc>
        <w:tc>
          <w:tcPr>
            <w:tcW w:w="14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80" w:type="dxa"/>
            <w:vAlign w:val="bottom"/>
          </w:tcPr>
          <w:p>
            <w:pPr>
              <w:spacing w:after="0"/>
              <w:rPr>
                <w:sz w:val="19"/>
                <w:szCs w:val="19"/>
                <w:color w:val="auto"/>
              </w:rPr>
            </w:pPr>
          </w:p>
        </w:tc>
        <w:tc>
          <w:tcPr>
            <w:tcW w:w="12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2026</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used the associated per-share value at the time of grant to determine the compensation cost to be recognized for the RSUs granted during the three months ended March 31, 2026. For grants of RSUs during period when the Company expects to pay dividends, the Company estimates the fair value for compensation cost using the value of its common stock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date of grant, reduced by the present value of dividends expected to be paid on its shares of common stock prior to vesting.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assumptions used for the RSUs granted during the three months ended March 31,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9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25"/>
        </w:trPr>
        <w:tc>
          <w:tcPr>
            <w:tcW w:w="9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50"/>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- 4.22%</w:t>
            </w:r>
          </w:p>
        </w:tc>
      </w:tr>
      <w:tr>
        <w:trPr>
          <w:trHeight w:val="250"/>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- 5.46%</w:t>
            </w:r>
          </w:p>
        </w:tc>
      </w:tr>
      <w:tr>
        <w:trPr>
          <w:trHeight w:val="263"/>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PSU activity during the three months ended March 31, 2026:</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8"/>
                <w:szCs w:val="18"/>
                <w:color w:val="auto"/>
              </w:rPr>
            </w:pPr>
          </w:p>
        </w:tc>
        <w:tc>
          <w:tcPr>
            <w:tcW w:w="12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Total Fair</w:t>
            </w:r>
          </w:p>
        </w:tc>
      </w:tr>
      <w:tr>
        <w:trPr>
          <w:trHeight w:val="216"/>
        </w:trPr>
        <w:tc>
          <w:tcPr>
            <w:tcW w:w="6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8"/>
                <w:szCs w:val="18"/>
                <w:color w:val="auto"/>
              </w:rPr>
            </w:pPr>
          </w:p>
        </w:tc>
        <w:tc>
          <w:tcPr>
            <w:tcW w:w="12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Value of</w:t>
            </w:r>
          </w:p>
        </w:tc>
      </w:tr>
      <w:tr>
        <w:trPr>
          <w:trHeight w:val="220"/>
        </w:trPr>
        <w:tc>
          <w:tcPr>
            <w:tcW w:w="6680" w:type="dxa"/>
            <w:vAlign w:val="bottom"/>
          </w:tcPr>
          <w:p>
            <w:pPr>
              <w:spacing w:after="0"/>
              <w:rPr>
                <w:sz w:val="19"/>
                <w:szCs w:val="19"/>
                <w:color w:val="auto"/>
              </w:rPr>
            </w:pPr>
          </w:p>
        </w:tc>
        <w:tc>
          <w:tcPr>
            <w:tcW w:w="1460" w:type="dxa"/>
            <w:vAlign w:val="bottom"/>
          </w:tcPr>
          <w:p>
            <w:pPr>
              <w:jc w:val="right"/>
              <w:ind w:right="353"/>
              <w:spacing w:after="0" w:line="220" w:lineRule="exact"/>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80" w:type="dxa"/>
            <w:vAlign w:val="bottom"/>
          </w:tcPr>
          <w:p>
            <w:pPr>
              <w:spacing w:after="0"/>
              <w:rPr>
                <w:sz w:val="19"/>
                <w:szCs w:val="19"/>
                <w:color w:val="auto"/>
              </w:rPr>
            </w:pPr>
          </w:p>
        </w:tc>
        <w:tc>
          <w:tcPr>
            <w:tcW w:w="128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Shares Vested</w:t>
            </w:r>
          </w:p>
        </w:tc>
      </w:tr>
      <w:tr>
        <w:trPr>
          <w:trHeight w:val="215"/>
        </w:trPr>
        <w:tc>
          <w:tcPr>
            <w:tcW w:w="6680" w:type="dxa"/>
            <w:vAlign w:val="bottom"/>
          </w:tcPr>
          <w:p>
            <w:pPr>
              <w:spacing w:after="0"/>
              <w:rPr>
                <w:sz w:val="18"/>
                <w:szCs w:val="18"/>
                <w:color w:val="auto"/>
              </w:rPr>
            </w:pPr>
          </w:p>
        </w:tc>
        <w:tc>
          <w:tcPr>
            <w:tcW w:w="14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80" w:type="dxa"/>
            <w:vAlign w:val="bottom"/>
          </w:tcPr>
          <w:p>
            <w:pPr>
              <w:spacing w:after="0"/>
              <w:rPr>
                <w:sz w:val="18"/>
                <w:szCs w:val="18"/>
                <w:color w:val="auto"/>
              </w:rPr>
            </w:pPr>
          </w:p>
        </w:tc>
        <w:tc>
          <w:tcPr>
            <w:tcW w:w="12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2026</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w:t>
      </w:r>
    </w:p>
    <w:p>
      <w:pPr>
        <w:spacing w:after="0" w:line="23" w:lineRule="exact"/>
        <w:rPr>
          <w:sz w:val="20"/>
          <w:szCs w:val="20"/>
          <w:color w:val="auto"/>
        </w:rPr>
      </w:pPr>
    </w:p>
    <w:p>
      <w:pPr>
        <w:ind w:left="420" w:hanging="412"/>
        <w:spacing w:after="0" w:line="258" w:lineRule="auto"/>
        <w:tabs>
          <w:tab w:leader="none" w:pos="4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PSUs outstanding represent the total number of PSUs granted to each recipient eligible to vest if the Company meets its highest specified performance goals for the applicable period.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costs as reported by award type (in millions):</w:t>
      </w:r>
    </w:p>
    <w:p>
      <w:pPr>
        <w:spacing w:after="0" w:line="5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5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0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5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w:t>
            </w:r>
          </w:p>
        </w:tc>
        <w:tc>
          <w:tcPr>
            <w:tcW w:w="10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0"/>
        </w:trPr>
        <w:tc>
          <w:tcPr>
            <w:tcW w:w="8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summarizes stock-based compensation costs, net of amounts capitalized, as reported on the Company’s consolidated statement of comprehensive income (in millions):</w:t>
      </w:r>
    </w:p>
    <w:p>
      <w:pPr>
        <w:jc w:val="center"/>
        <w:ind w:left="8200"/>
        <w:spacing w:after="0" w:line="238" w:lineRule="auto"/>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5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 net of amounts capitalized</w:t>
            </w:r>
          </w:p>
        </w:tc>
        <w:tc>
          <w:tcPr>
            <w:tcW w:w="10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8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capitalized stock-based compensation of $0.1 million and $0.3 million during the three months ended March 31, 2026 and 2025,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Company’s total unrecognized stock-based compensation expenses related to stock options, RSUs and PSUs was approximately $0.2 million, $87.4 million and $14.4 million, respectively. The expense related to stock options, RSUs and PSUs are expected to be recognized over a weighted average period of 0.8 years, 2.4 years and 1.5 years, respectively.</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agreements</w:t>
      </w:r>
    </w:p>
    <w:p>
      <w:pPr>
        <w:spacing w:after="0" w:line="2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March 2021, the Company entered into two interest rate swap agreements, each with a notional value of $250 million. Each of these swap agreements is with a different financial institution as the counterparty to reduce the Company’s counterparty risk. The initial terms of each swap required the Company to pay a fixed interest rate of 0.9275% in exchange for receiving one-month LIBOR. In June 2023 these two interest rate swap agreements were amended so that effective July 31, 2023, the Company will pay a fixed interest rate of 0.85% in exchange for receiving one-month term Secured Overnight Financing Rate (“SOFR”). The amendment did not impact the hedge effectiveness.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swap agreements settle monthly commencing in April 2021 through their termination dates on April 30, 2026. The estimated fair value of the Company’s interest rate swap agreements is derived from a discounted cash flow analysis.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the Company entered into two additional interest rate swap agreements, each with a notional value of $250 million. Each of these swap agreements is with a different financial institution, and each swap requires the Company to pay a fixed interest rate of 3.435% in exchange for receiving one-month LIBOR for six months and one-month Term SOFR afterwards. The interest rate swap agreements settle monthly commencing in February 2023 through their termination dates on February 28, 2028. The estimated fair value of the Company’s interest rate swap agreements is derived from a discounted cash flow analysis.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aggregate fair value of the Company’s interest rate swap agreements was a net asset of $2.9 million as of March 31, 2026, and was recorded in the accompanying consolidated balance sheets based upon the timing of the underlying expected cash flows in amounts detailed in </w:t>
      </w:r>
      <w:r>
        <w:rPr>
          <w:rFonts w:ascii="Times New Roman" w:cs="Times New Roman" w:eastAsia="Times New Roman" w:hAnsi="Times New Roman"/>
          <w:sz w:val="18"/>
          <w:szCs w:val="18"/>
          <w:i w:val="1"/>
          <w:iCs w:val="1"/>
          <w:color w:val="auto"/>
        </w:rPr>
        <w:t>Note 7,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hedge agreements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March 31, 2026, the Company had outstanding derivative contracts to purchase certain foreign currencies, including EUR, ILS, RON, and PLN at future dates. The amount of future salary expenses the Company had hedged was approximately $245.4 million, and all contracts are expected to mature during the upcoming 12 months. The aggregate fair value of the Company’s derivative contracts was a net asset of $4.5 million as of March 31, 2026 and was recorded in the accompanying consolidated balance sheets in amounts detailed in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following table summarizes the volume of derivative instrument activity (in millions):</w:t>
      </w:r>
    </w:p>
    <w:p>
      <w:pPr>
        <w:spacing w:after="0" w:line="5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 foreign currency derivative contracts</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5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 interest rate swaps</w:t>
            </w:r>
          </w:p>
        </w:tc>
        <w:tc>
          <w:tcPr>
            <w:tcW w:w="9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 others (non-hedging)</w:t>
            </w:r>
          </w:p>
        </w:tc>
        <w:tc>
          <w:tcPr>
            <w:tcW w:w="9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fair value in accordance with ASC 820. Fair value is defined under ASC 820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ASC 820 must maximize the use of observable inputs and minimize the use of unobservable inputs. The Company uses a three-tier hierarchy, which prioritizes the inputs used in measuring fair value as follows: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52"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that are observable or can be corroborated by observable market data for substantially the full term of the assets or liabilities.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long-term debt for disclosure purposes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11"/>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140" w:type="dxa"/>
            <w:vAlign w:val="bottom"/>
          </w:tcPr>
          <w:p>
            <w:pPr>
              <w:spacing w:after="0"/>
              <w:rPr>
                <w:sz w:val="18"/>
                <w:szCs w:val="18"/>
                <w:color w:val="auto"/>
              </w:rPr>
            </w:pPr>
          </w:p>
        </w:tc>
        <w:tc>
          <w:tcPr>
            <w:tcW w:w="15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Hierarchy</w:t>
            </w:r>
          </w:p>
        </w:tc>
      </w:tr>
      <w:tr>
        <w:trPr>
          <w:trHeight w:val="225"/>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48"/>
        </w:trPr>
        <w:tc>
          <w:tcPr>
            <w:tcW w:w="6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r>
        <w:trPr>
          <w:trHeight w:val="538"/>
        </w:trPr>
        <w:tc>
          <w:tcPr>
            <w:tcW w:w="6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11"/>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140" w:type="dxa"/>
            <w:vAlign w:val="bottom"/>
          </w:tcPr>
          <w:p>
            <w:pPr>
              <w:spacing w:after="0"/>
              <w:rPr>
                <w:sz w:val="18"/>
                <w:szCs w:val="18"/>
                <w:color w:val="auto"/>
              </w:rPr>
            </w:pPr>
          </w:p>
        </w:tc>
        <w:tc>
          <w:tcPr>
            <w:tcW w:w="15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Hierarchy</w:t>
            </w:r>
          </w:p>
        </w:tc>
      </w:tr>
      <w:tr>
        <w:trPr>
          <w:trHeight w:val="225"/>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48"/>
        </w:trPr>
        <w:tc>
          <w:tcPr>
            <w:tcW w:w="6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term loan is based upon the prices at which the Company’s debt traded in the days immediately preceding the balance sheet date. As the trading volume of the Company’s debt is low relative to the overall debt balance, the Company does not believe that the associated transactions represent an active market, and therefore this indication of value represents a level 2 fair value input.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following table sets forth the assets and liabilities measured at fair value on a recurring basis in the Company’s consolidated balance sheets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 (in millions):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Term deposits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Commercial papers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Term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Commercial papers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7" w:lineRule="exact"/>
        <w:rPr>
          <w:sz w:val="20"/>
          <w:szCs w:val="20"/>
          <w:color w:val="auto"/>
        </w:rPr>
      </w:pPr>
    </w:p>
    <w:p>
      <w:pPr>
        <w:ind w:left="260" w:right="1960"/>
        <w:spacing w:after="0" w:line="329" w:lineRule="auto"/>
        <w:rPr>
          <w:sz w:val="20"/>
          <w:szCs w:val="20"/>
          <w:color w:val="auto"/>
        </w:rPr>
      </w:pPr>
      <w:r>
        <w:rPr>
          <w:rFonts w:ascii="Times New Roman" w:cs="Times New Roman" w:eastAsia="Times New Roman" w:hAnsi="Times New Roman"/>
          <w:sz w:val="18"/>
          <w:szCs w:val="18"/>
          <w:color w:val="auto"/>
        </w:rPr>
        <w:t>Derivative instruments - interest rate swaps Derivative instruments - 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 including employee related benefits</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interest rate swaps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w:t>
      </w:r>
    </w:p>
    <w:p>
      <w:pPr>
        <w:spacing w:after="0" w:line="24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Represents an amount less than $0.1</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54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260" w:type="dxa"/>
            <w:vAlign w:val="bottom"/>
          </w:tcPr>
          <w:p>
            <w:pPr>
              <w:spacing w:after="0"/>
              <w:rPr>
                <w:sz w:val="14"/>
                <w:szCs w:val="14"/>
                <w:color w:val="auto"/>
              </w:rPr>
            </w:pPr>
          </w:p>
        </w:tc>
        <w:tc>
          <w:tcPr>
            <w:tcW w:w="130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4"/>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Hierarchy</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5"/>
        </w:trPr>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Pr>
          <w:p>
            <w:pPr>
              <w:spacing w:after="0"/>
              <w:rPr>
                <w:sz w:val="24"/>
                <w:szCs w:val="24"/>
                <w:color w:val="auto"/>
              </w:rPr>
            </w:pPr>
          </w:p>
        </w:tc>
        <w:tc>
          <w:tcPr>
            <w:tcW w:w="7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43"/>
        </w:trPr>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57"/>
        </w:trPr>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711"/>
        </w:trPr>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4"/>
        </w:trPr>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716"/>
        </w:trPr>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7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7"/>
        </w:trPr>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783"/>
        </w:trPr>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4"/>
                <w:szCs w:val="24"/>
                <w:color w:val="auto"/>
              </w:rPr>
            </w:pPr>
          </w:p>
        </w:tc>
        <w:tc>
          <w:tcPr>
            <w:tcW w:w="7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83"/>
        </w:trPr>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70"/>
        </w:trPr>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910" w:lineRule="exact"/>
        <w:rPr>
          <w:sz w:val="20"/>
          <w:szCs w:val="20"/>
          <w:color w:val="auto"/>
        </w:rPr>
      </w:pPr>
    </w:p>
    <w:p>
      <w:pPr>
        <w:sectPr>
          <w:pgSz w:w="11900" w:h="16838" w:orient="portrait"/>
          <w:cols w:equalWidth="0" w:num="2">
            <w:col w:w="5960" w:space="720"/>
            <w:col w:w="4560"/>
          </w:cols>
          <w:pgMar w:left="320" w:top="1417" w:right="339" w:bottom="1440" w:gutter="0" w:footer="0" w:header="0"/>
          <w:type w:val="continuous"/>
        </w:sectPr>
      </w:pPr>
    </w:p>
    <w:p>
      <w:pPr>
        <w:spacing w:after="0" w:line="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accounts receivable, accounts payables, restricted cash, and the majority of cash equivalents approximates fair value due to the short time to expected payment or receipt of cash.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short term investments, derivative financial instruments and some cash equivalents within Level 2 because they are valued using inputs other than quoted prices which are directly or indirectly observable in the market, including readily-available pricing sources for the identical underlying security which may not be actively traded.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of contingent consideration payable was valued using significant unobservable inputs (Level 3), was included in the general and administrative expenses in the Company’s consolidated statements of comprehensive income and consisted of the following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r>
      <w:tr>
        <w:trPr>
          <w:trHeight w:val="229"/>
        </w:trPr>
        <w:tc>
          <w:tcPr>
            <w:tcW w:w="9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Fair value adjustments based upon post-acquisition performance and passage of time</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48"/>
        </w:trPr>
        <w:tc>
          <w:tcPr>
            <w:tcW w:w="97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Balance as of March 31, 2026 </w:t>
            </w:r>
            <w:r>
              <w:rPr>
                <w:rFonts w:ascii="Times New Roman" w:cs="Times New Roman" w:eastAsia="Times New Roman" w:hAnsi="Times New Roman"/>
                <w:sz w:val="23"/>
                <w:szCs w:val="23"/>
                <w:b w:val="1"/>
                <w:bCs w:val="1"/>
                <w:color w:val="auto"/>
                <w:vertAlign w:val="superscript"/>
              </w:rPr>
              <w:t>(1)</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ind w:left="260" w:hanging="252"/>
        <w:spacing w:after="0" w:line="195" w:lineRule="auto"/>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Amount comprised of $829.0 million for SuperPlay acquisition.</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its SuperPlay contingent consideration liability using a Monte Carlo simulation to model components of cash flow analyses. The significant assumptions used in the SuperPlay model include revenue volatility</w:t>
      </w:r>
    </w:p>
    <w:p>
      <w:pPr>
        <w:sectPr>
          <w:pgSz w:w="11900" w:h="16838" w:orient="portrait"/>
          <w:cols w:equalWidth="0" w:num="1">
            <w:col w:w="1124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of 10%, discount rate of 11.8% and a risk free rate of 4.9%. These fair value measurements are based on significant inputs not observable in the market and thus represent Level 3 measurements as defined in ASC 820. The extent to which the actual results differ from assumptions made within the simulation and analyses, along with adjustments resulting from the passage of time, will result in changes in these liabilities in future periods. Based on certain gross revenue growth and Adjusted EBITDA metrics of SuperPlay during the calendar year 2026, earnout payments could exceed currently estimated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elected the fair value measurement option under ASC 825 for any financial assets or liabilities.</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November 13, 2023, plaintiff Gina Burt filed a lawsuit against the Company and its subsidiary, Playtika Ltd., in the Circuit Court of Coffee County, Tennessee, alleging that the Company’s social casino-themed games are unlawful gambling under Tennessee law. The lawsuit seeks to recover all amounts paid by Tennessee residents to the Company in connection with its games during the period beginning one year before the filing of the lawsuit until the case is resolved but excluding any residents who spent $75,000 or more during such time period. The plaintiff filed an amended complaint on August 28, 2025, adding several individual plaintiffs. The Company removed the case to federal court on September 29, 2025. On January 12, 2026, Plaintiffs voluntarily dismissed claims by plaintiffs Gina Burt, Don Burt and Jamie Trimble, proceeding with Hunter Trimble as the sole named plaintiff. In response to a joint motion of the parties, on January 28, 2026, the court entered an order compelling arbitration of plaintiff’s claims. Plaintiff filed an arbitration demand on March 20, 2026. As the case is in preliminary stages, the Company cannot estimate what impact, if any, the litigation may have on its results of operations, financial condition or cash flows. The Company intends to defend this case vigorously.</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8, 2023, plaintiff Gayla Hamilton Mills filed a lawsuit against the Company and its subsidiary, Playtika Ltd., in the Circuit Court of Franklin County, Alabama, alleging that the Company’s social casino-themed games are unlawful gambling under Alabama law. The lawsuit seeks to recover all amounts paid by Alabama residents to the Company in connection with its games during the period beginning one year before the filing of the lawsuit until the case is resolved. After the Company removed the case to the U.S. District Court for the Northern District of Alabama, plaintiff dismissed the complaint and filed a very similar new complaint in the Circuit Court of Franklin County, Alabama on August 25, 2023. The new complaint asserted the same cause of action and bases for relief, but limited the requested recovery to the amounts paid to the Company in connection with its games only by those Alabama residents who spent less than $75,000 during the one year before the filing of the lawsuit until the case is resolved. The court ordered arbitration and stayed the case on August 20, 2025. The parties held a preliminary arbitration conference call on December 5, 2025 and submitted initial briefs on March 20, 2026. As the case is in preliminary stages, the Company cannot estimate what impact, if any, the litigation may have on its results of operations, financial condition or cash flows. The Company intends to defend this case vigorously.</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2025, plaintiff Stuart Mills filed a putative class action lawsuit against the Company and its subsidiary, Playtika Ltd., on behalf of all Alabama-based players of the Company’s games in the Circuit Court of Franklin County, Alabama. The suit, like the suit brought by Gayla Hamilton Mills, alleges that the Company’s casino-themed social games are unlawful gambling under Alabama law. The lawsuit seeks to recover all amounts paid by Alabama residents to the Company in connection with its games during the period beginning one year before the filing of the lawsuit until the case is resolved. The suit was filed by the same counsel who represent Gayla Hamilton Mills. The Company removed the case to the U.S. District Court for the Northern District of Alabama on July 11, 2025. Plaintiff’s motion to remand to state court was filed on August 11, 2025. The court denied the motion to remand and compelled the parties to arbitration on January 20, 2026. Plaintiff filed a petition seeking permission for interlocutory review by the Eleventh Circuit U.S. Court of Appeals of the denial of his motion to remand on January 30, 2026. The court denied the petition on February 19, 2026 and plaintiff filed an arbitration demand on March 11, 2026. As the case is in preliminary stages, the Company cannot estimate what impact, if any, the litigation may have on its results of operations, financial condition or cash flows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22, 2024, plaintiff Dianne Fuqua filed a lawsuit against the Company and its subsidiary, Playtika Ltd., in the District Court for the Western District of Kentucky, alleging that the Company’s casino-themed social games are unlawful gambling under Kentucky law. The lawsuit sought to recover three times the amount paid by Kentucky residents to the Company from its games during the period from August 2019 through June 2023 plus interest, costs and any other relief to which plaintiff is entitled to. On November 21, 2025, the court on its own initiative ordered both parties to submit briefs addressing whether plaintiff possesses Article III (constitutional) standing for purposes of jurisdiction in federal court.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parties submitted simultaneous briefs on December 22, 2025, in response to that order. On March 26, 2026, the court dismissed the case for lack of subject-matter jurisdiction. On April 24, 2026, plaintiff filed a notice of appeal with the Sixth Circuit U.S. Court of Appeals. At this stage, the Company cannot estimate what impact, if any, the litigation may have on its results of operations, financial condition or cash flows. The Company intends to defend this case vigorously.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27, 2025, plaintiff Andrew Wright filed a putative class action lawsuit against the Company and its subsidiary, Playtika Ltd., in the U.S. District Court for the District of Utah, alleging that the Company’s social casino-themed games are unlawful gambling under Utah law. The lawsuit seeks to recover twice the amount of economic losses suffered by Utah residents to the Company in connection with its social casino-themed games plus interest and attorneys’ fees. The Company filed a motion to compel arbitration on February 17, 2026. On April 15, 2026, the court granted our motion to compel arbitration and stayed the case. At this stage, the Company cannot estimate what impact, if any, the litigation may have on its results of operations, financial condition or cash flows. The Company intends to defend this case vigorously.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29, 2025, plaintiff William Barbarino filed a putative class action lawsuit against the Company and its subsidiary, Playtika Ltd., in the U.S. District Court for the District of New Jersey, alleging that the Company’s social casino-themed games are unlawful gambling under federal and New Jersey law. The lawsuit seeks to recover up to three times the amount of economic losses suffered by New Jersey residents to the Company in connection with its social casino-themed games plus interest, attorneys’ fees and other relief to which the plaintiff and the putative class may be entitled. The parties filed a joint stipulation and proposed order submitting the claims to arbitration, staying the case and preserving the parties’ positions on January 27, 2026. As the case is in preliminary stages, the Company cannot estimate what impact, if any, the litigation may have on its results of operations, financial condition or cash flows. The Company intends to defend this case vigorously.</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24, 2025, we received a letter from the Attorney General of the State of Washington alleging that our social casino-themed and bingo-themed games violate state gambling and consumer protection laws, and requesting that we pay certain monetary penalties and prevent those games from being available to play in the state in the future. The Attorney General initiated a lawsuit in King County Superior Court in the State of Washington on February 3, 2026, against the Company and several of its subsidiaries asserting those same allegations. The Attorney General is seeking injunctive and declaratory relief, recovery of monies spent by Washington players in the games, civil statutory penalties, costs and fees, and other relief. The Company’s response to the complaint is due on May 18, 2026. As the case is in preliminary stages, the Company cannot estimate what impact, if any, the litigation may have on its results of operations, financial condition or cash flows. The Company intends to defend this case vigorously.</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8, 2025, the Company received pre-arbitration notices from another law firm purporting to represent 3,860 claimants who have played the Company’s games and intend to file arbitration demands alleging that the Company’s social casino-themed games violate state laws against gambling and that the games use false, deceptive and misleading practices. The notice demands the payment of the greater of $5,000 or the actual amount of in-game losses for the claimants, plus punitive and other damages and attorneys’ fees as well as the cessation of the alleged unlawful conduct. On August 5, 2025, we were notified that the law firm was continuing to solicit claimants and that they now represented 4,688 claimants. On November 4, 2025, the law firm filed arbitration demands on behalf of 1,642 claimants. On March 23, 2026, the claimants filed an amended demand naming certain of the Company’s officers as additional respondents. The amended demand alleges that the officers engaged in fraud and racketeering by virtue of their authority over the Company’s games and practices which the claimant alleges violate gambling and consumer protections laws. As of the date hereof, the Company lacks adequate information to assess the nature or validity of these claims. As such, the Company cannot estimate what impact, if any, these claims may have on its results of operations, financial condition or cash flows. The Company intends to defend these claims vigorously.</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10, 2026, the Company received pre-arbitration notices from another law firm purporting to represent 3,061 claimants who have played the Company’s games and intend to file arbitration demands alleging that the Company’s games violate state laws against gambling, that the games use unfair and deceptive practices and that the Company has been unjustly enriched. The notice demands the full restitution of all amounts expended by the claimants, restitution and disgorgement, interest, and other damages and attorneys’ fees. As of the date hereof, the Company lacks adequate information to assess the nature or validity of these claims. As such, the Company cannot estimate what impact, if any, these claims may have on its results of operations, financial condition or cash flows. The Company intends to defend these claims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December 8, 2025, Toni Morrow filed a putative class action complaint in the United States District Court for the Western District of Washington against SuperPlay Ltd., relating to the game </w:t>
      </w:r>
      <w:r>
        <w:rPr>
          <w:rFonts w:ascii="Times New Roman" w:cs="Times New Roman" w:eastAsia="Times New Roman" w:hAnsi="Times New Roman"/>
          <w:sz w:val="18"/>
          <w:szCs w:val="18"/>
          <w:i w:val="1"/>
          <w:iCs w:val="1"/>
          <w:color w:val="auto"/>
        </w:rPr>
        <w:t>Dice Dreams</w:t>
      </w:r>
      <w:r>
        <w:rPr>
          <w:rFonts w:ascii="Times New Roman" w:cs="Times New Roman" w:eastAsia="Times New Roman" w:hAnsi="Times New Roman"/>
          <w:sz w:val="18"/>
          <w:szCs w:val="18"/>
          <w:color w:val="auto"/>
        </w:rPr>
        <w:t>. The complaint alleges, among other things, that the game constitutes unlawful gambling under Washington law and includes unfair and deceptive practices in connection with in-game purchase offers and purported “sales”, and seeks, inter alia, injunctive relief and restitution. SuperPlay Ltd. filed its response to the complaint on April 24, 2026. The matter is in its preliminary stages. Accordingly, the Company cannot estimate what impact, if any, it may have on its results of operations, financial condition or cash flows. The Company intends to defend this matter vigorously.</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December 10, 2025, Maor Ben Shushan filed a Motion for Certification of a class action lawsuit in the District Court in Central Lod, Israel, against Playtika Group Israel Ltd. (“PGI”), alleging misleading price presentation in connection with in-app purchases offered to Israeli users in U.S. dollars in several Playtika games, including </w:t>
      </w:r>
      <w:r>
        <w:rPr>
          <w:rFonts w:ascii="Times New Roman" w:cs="Times New Roman" w:eastAsia="Times New Roman" w:hAnsi="Times New Roman"/>
          <w:sz w:val="18"/>
          <w:szCs w:val="18"/>
          <w:i w:val="1"/>
          <w:iCs w:val="1"/>
          <w:color w:val="auto"/>
        </w:rPr>
        <w:t>Slotomania, House of Fun, Caesars Slots</w:t>
      </w:r>
      <w:r>
        <w:rPr>
          <w:rFonts w:ascii="Times New Roman" w:cs="Times New Roman" w:eastAsia="Times New Roman" w:hAnsi="Times New Roman"/>
          <w:sz w:val="18"/>
          <w:szCs w:val="18"/>
          <w:color w:val="auto"/>
        </w:rPr>
        <w:t>, and others, resulting in higher final charges due to undisclosed foreign currency conversion rates and related fees. The lawsuit seeks NIS 18,357 in personal damages to the petitioner and approximately NIS 28 million in damages to the tentative class or approximately USD $8.8 million, using the exchange rate of NIS 3.19: USD $1.00, which was the exchange rate in effect on December 31, 2025. A pre-trial hearing on the motion is scheduled for September 9, 2026. As these claims are in preliminary stages, the Company cannot estimate what impact, if any, they may have on its results of operations, financial condition or cash flows. The Company intends to defend these claims vigorously.</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5, 2026, Daniela Beninati filed a putative class action in the Federal Court of Australia (Victoria Registry) against the Company, alleging that certain of our social casino-themed games constitute unlawful interactive gambling services under the Australian Interactive Gambling Act 2001 (Cth), and that the Company engaged in misleading or deceptive conduct and unconscionable conduct in violation of the Australian Consumer Law in connection with the marketing and monetization of such games. The complaint seeks, inter alia, declaratory and injunctive relief, restitution of amounts paid for in-game virtual currency by Australian-based users, damages, interest and costs. On March 26, 2026 the Company filed a motion to compel arbitration and stay the lawsuit. An interlocutory hearing has been scheduled for September 24, 2026. The matter is in its preliminary stages. Accordingly, the Company cannot estimate what impact, if any, it may have on its results of operations, financial condition or cash flows. The Company intends to defend this matter vigorously.</w:t>
      </w:r>
    </w:p>
    <w:p>
      <w:pPr>
        <w:spacing w:after="0" w:line="20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On March 6, 2026, Crystiauna McLallen filed a putative class action complaint in the United States District Court for the Eastern District of Washington against SuperPlay Ltd., relating to its games, including </w:t>
      </w:r>
      <w:r>
        <w:rPr>
          <w:rFonts w:ascii="Times New Roman" w:cs="Times New Roman" w:eastAsia="Times New Roman" w:hAnsi="Times New Roman"/>
          <w:sz w:val="18"/>
          <w:szCs w:val="18"/>
          <w:i w:val="1"/>
          <w:iCs w:val="1"/>
          <w:color w:val="auto"/>
        </w:rPr>
        <w:t>Dice Dreams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Domino Dreams</w:t>
      </w:r>
      <w:r>
        <w:rPr>
          <w:rFonts w:ascii="Times New Roman" w:cs="Times New Roman" w:eastAsia="Times New Roman" w:hAnsi="Times New Roman"/>
          <w:sz w:val="18"/>
          <w:szCs w:val="18"/>
          <w:color w:val="auto"/>
        </w:rPr>
        <w:t>. The complaint alleges, among other things, that the games constitute unlawful gambling under Washington law and violate state consumer protection laws, and seeks, inter alia, injunctive relief and restitution on behalf of a class of Washington residents who made purchases in the games. Per agreement of the parties, Superplay Ltd.’s response to the complaint is due on June 22, 2026. The matter is in its preliminary stages. Accordingly, the Company cannot estimate what impact, if any, it may have on its results of operations, financial condition or cash flows. The Company intends to defend this matter vigorously.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26, 2024, the Tel Aviv 3 Tax Office (the “ITA”) issued an assessment order (the “2017 Assessment Order”) to Playtika Ltd. for tax year 2017 alleging that Playtika Ltd. should have applied a higher tax rate to certain income and denying certain tax credits. The 2017 Assessment Order claimed that, as of March 26, 2024, Playtika Ltd. was obliged to pay additional taxes (including interest and CPI linkage) for tax year 2017 in the amount of approximately NIS 72.9 million. On April 14, 2024, Playtika Ltd. filed a notice of appeal in the Tel Aviv District Court challenging the 2017 Assessment Order. On May 15, 2024, the ITA filed its statement of assessment grounds, and on December 1, 2024, Playtika Ltd. filed its statement of appeal grounds. On June 12, 2025, the ITA issued an assessment order (the “2018 Assessment Order”) for tax year 2018 in which it repeated similar arguments to those raised in the 2017 Assessment Order and also disallowed certain aircraft-related business expenses. The 2018 Assessment Order claimed that, as of June 12, 2025, Playtika Ltd. was obliged to pay additional taxes (including interest and CPI linkage) for tax year 2018 in the amount of approximately NIS 85.8 million. On June 26, 2025, Playtika Ltd. filed a notice of appeal and a case was opened in the Tel Aviv District Court. On July 14, 2025, the ITA filed its statement of assessment grounds, and on September 29, 2025, Playtika Ltd. filed its statement of appeal grounds. On December 14, 2025, the cases relating to the 2017 Assessment Order and 2018 Assessment Order were consolidated and a preliminary hearing occurred. At the preliminary hearing, the Court determined that, in light of the expected imminent issuance of assessment orders for additional years, the deadlines for filing affidavits and the evidentiary hearing date for witness examinations would be set after the arguments are filed in connection with the additional assessment orders for tax years 2019-2021. In this hearing, the ITA informed the Court that it was rescinding its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disallowing the aircraft-related business expenses. On December 11, 2025, the ITA issued an assessment order (the “2019-2021 Assessment Order”) to Playtika Ltd. for tax years 2019-2021. In that order, the ITA repeated similar arguments to those raised in the 2017 Assessment Order and the 2018 Assessment Order and also denied foreign tax credits in the amount of approximately NIS 19 million for tax years 2019-2021. In addition, in the 2019-2021 Assessment Order, the ITA alleged that the interest rate set for intercompany loans Playtika Ltd. provided should have been higher under transfer pricing principles. The ITA also claimed a “secondary adjustment” in the form of interest on a deemed debt balance in favor of Playtika Ltd., due to the additional deemed income owed to Playtika Ltd. per the ITA’s claims. The 2019-2021 Assessment Order claimed that, as of December 11, 2025, Playtika Ltd. was obliged to pay additional taxes (including interest and CPI linkage) for tax years 2019-2021 in the amount of approximately NIS 312.9 million. On December 31, 2025, Playtika Ltd.filed a notice of appeal regarding the 2019-2021 Assessment Order and a case was opened in the Tel Aviv District Court. On January 28, 2026, the ITA filed its statement of assessment grounds. Playtika Ltd.’s current deadline for filing its appeal arguments is June 21, 2026 (subject to extensions). On April 22, 2026, the court approved the consolidation of all of the cases relating to the assessment orders described above. The total amount of the assessments under the 2017 Assessment Order, the 2018 Assessment Order and the 2019-2021 Assessment Order was approximately USD $149 million as of the respective dates of the assessment orders, using the exchange rate of NIS 3.17: USD $1.00, which was the exchange rate in effect on March 31, 2026. This amount remains subject to continued accrual interest and linkage of the Israeli CPI until paid. The Company intends to pursue this case vigorously. See </w:t>
      </w:r>
      <w:r>
        <w:rPr>
          <w:rFonts w:ascii="Times New Roman" w:cs="Times New Roman" w:eastAsia="Times New Roman" w:hAnsi="Times New Roman"/>
          <w:sz w:val="18"/>
          <w:szCs w:val="18"/>
          <w:i w:val="1"/>
          <w:iCs w:val="1"/>
          <w:color w:val="auto"/>
        </w:rPr>
        <w:t>Note 12, Income Taxes</w:t>
      </w:r>
      <w:r>
        <w:rPr>
          <w:rFonts w:ascii="Times New Roman" w:cs="Times New Roman" w:eastAsia="Times New Roman" w:hAnsi="Times New Roman"/>
          <w:sz w:val="18"/>
          <w:szCs w:val="18"/>
          <w:color w:val="auto"/>
        </w:rPr>
        <w:t>, for additional information.</w:t>
      </w:r>
    </w:p>
    <w:p>
      <w:pPr>
        <w:spacing w:after="0" w:line="22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by geographic location of the Company’s players and type of platform (in millions):</w:t>
      </w:r>
    </w:p>
    <w:p>
      <w:pPr>
        <w:spacing w:after="0" w:line="5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9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7"/>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USA</w:t>
            </w:r>
          </w:p>
        </w:tc>
        <w:tc>
          <w:tcPr>
            <w:tcW w:w="9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r>
      <w:tr>
        <w:trPr>
          <w:trHeight w:val="256"/>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EMEA</w:t>
            </w: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57"/>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APAC</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56"/>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50"/>
        </w:trPr>
        <w:tc>
          <w:tcPr>
            <w:tcW w:w="82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through third-party platforms and through the Company’s own direct-to-consumer platforms were as follows (in millions):</w:t>
      </w:r>
    </w:p>
    <w:p>
      <w:pPr>
        <w:spacing w:after="0" w:line="5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2"/>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Third-party platforms</w:t>
            </w:r>
          </w:p>
        </w:tc>
        <w:tc>
          <w:tcPr>
            <w:tcW w:w="9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r>
      <w:tr>
        <w:trPr>
          <w:trHeight w:val="257"/>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Direct-to-consumer platforms</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75"/>
        </w:trPr>
        <w:tc>
          <w:tcPr>
            <w:tcW w:w="82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from players for virtual items are collected by platform providers or payment processors and remitted to the Company (net of the platform or clearing fees) generally within 30 days after the player transaction. The Company’s right to receive the payments collected by the platform providers or payment processors is recorded as an accounts receivable as the right to receive payment is unconditional. Deferred revenues, which represent a contract liability, represent mostly unrecognized fees billed for virtual items which have not yet been consumed at the balance sheet date. Platform fees paid to platform providers or payment processors and associated with deferred revenues represent a contract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of the Company’s contract assets and liabilities are as follows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30"/>
        </w:trPr>
        <w:tc>
          <w:tcPr>
            <w:tcW w:w="8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Contract liabilities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ind w:left="260" w:hanging="252"/>
        <w:spacing w:after="0" w:line="220" w:lineRule="auto"/>
        <w:tabs>
          <w:tab w:leader="none" w:pos="2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Contract assets are included within prepaid expenses and other current assets in the Company’s consolidated balance sheets.</w:t>
      </w:r>
    </w:p>
    <w:p>
      <w:pPr>
        <w:spacing w:after="0" w:line="2" w:lineRule="exact"/>
        <w:rPr>
          <w:rFonts w:ascii="Times New Roman" w:cs="Times New Roman" w:eastAsia="Times New Roman" w:hAnsi="Times New Roman"/>
          <w:sz w:val="23"/>
          <w:szCs w:val="23"/>
          <w:color w:val="auto"/>
          <w:vertAlign w:val="superscript"/>
        </w:rPr>
      </w:pPr>
    </w:p>
    <w:p>
      <w:pPr>
        <w:ind w:left="660" w:right="20" w:hanging="652"/>
        <w:spacing w:after="0" w:line="219" w:lineRule="auto"/>
        <w:tabs>
          <w:tab w:leader="none" w:pos="332"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Contract liabilities are included within accrued expenses and other current liabilities as “deferred revenues” in the Company’s consolidated balance sheets.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three months ended March 31, 2026, the Company recognized $22.4 million of its contract liabilities that were outstanding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Unsatisfied performance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unsatisfied performance obligations relate to contracts with an original expected length of one year or less.</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operates its business as one operating segment and one reportable segment. The Company has identified its Chief Executive Officer as its Chief Operating Decision Maker (“CODM”). The CODM uses revenues and net income for purposes of assessing performance and deciding how to allocate resources. In addition to revenues and net income, the following significant expense categories and amounts are regularly provided to the CODM for use when allocating resources: interest expense (as disclosed in </w:t>
      </w:r>
      <w:r>
        <w:rPr>
          <w:rFonts w:ascii="Times New Roman" w:cs="Times New Roman" w:eastAsia="Times New Roman" w:hAnsi="Times New Roman"/>
          <w:sz w:val="18"/>
          <w:szCs w:val="18"/>
          <w:i w:val="1"/>
          <w:iCs w:val="1"/>
          <w:color w:val="auto"/>
        </w:rPr>
        <w:t>Note 11, Interest and Other, Net,)</w:t>
      </w:r>
      <w:r>
        <w:rPr>
          <w:rFonts w:ascii="Times New Roman" w:cs="Times New Roman" w:eastAsia="Times New Roman" w:hAnsi="Times New Roman"/>
          <w:sz w:val="18"/>
          <w:szCs w:val="18"/>
          <w:color w:val="auto"/>
        </w:rPr>
        <w:t xml:space="preserve"> and advertising expense, which was $331.9 million and $224.4 million for the three months ended March 31, 2026 and 2025, respectively. Asset information as presented on the consolidated balance sheets is provided to the CODM.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long-lived assets, net, by country of domicile are as follows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Ukraine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long-lived assets,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INTEREST AND OTHER,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net are as follows (in millions):</w:t>
      </w:r>
    </w:p>
    <w:p>
      <w:pPr>
        <w:spacing w:after="0" w:line="5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5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6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differences, net</w:t>
            </w: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82"/>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interest and other, net</w:t>
            </w: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79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 except tax rate)</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25.5 %</w:t>
            </w: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effective tax rates were determined using a worldwide estimated annual effective tax rate and took discrete items into consideration. The difference between the effective tax rate and the 21% U.S. federal statutory rate for the three months ended March 31, 2026 was primarily due to changes in estimated value of contingent consideration and tax rates in foreign jurisdictions, partially offset by impacts of tax positions that do not meet the more likely than not standard. The difference between the effective tax rate and the 21% U.S. federal statutory rate for the three months ended March 31, 2025 was primarily due to the inclusion of Global Intangible Low-Taxed Income, tax rates in foreign jurisdictions, state income taxes, and changes in valuation allowances, partially offset by a favorable impact of tax positions that do not meet the more likely than not standard.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2026, the Israeli Knesset enacted Chapter J, the Law for the Encouragement and Incentivization of Research and Development (the “R&amp;D Law”). The R&amp;D Law introduces a refundable tax credit regime for qualifying research and development expenditures incurred in Israel. The R&amp;D Law applies to qualifying R&amp;D expenditures incurred beginning in the 2026 tax year and allows eligible companies, subject to meeting certain conditions, to offset Israeli income taxes or Israeli qualified domestic minimum top up tax (“QDMTT”), or alternatively to receive a government grant if the credit is not utilized. For the three months ended March 31, 2026, the impact of the R&amp;D Law was immaterial to the Company's interim consolidated financial statements.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refundable tax credits that are not subject to the scope of ASC 740 using a grant accounting model, by analogy to </w:t>
      </w: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Standards 20, Accounting for Government Grants and Disclosure of Government Assistance</w:t>
      </w:r>
      <w:r>
        <w:rPr>
          <w:rFonts w:ascii="Times New Roman" w:cs="Times New Roman" w:eastAsia="Times New Roman" w:hAnsi="Times New Roman"/>
          <w:sz w:val="18"/>
          <w:szCs w:val="18"/>
          <w:color w:val="auto"/>
        </w:rPr>
        <w:t>, and recognizes such grants when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has reasonable assurance that it will comply with the grant’s conditions and that the grant will be received. Refundable tax credits are accounted for by analogy to government grants, as the Company can realize the benefit regardless of whether or not it has an income tax liability. Therefore, these amounts are not considered income taxes and fall outside the scope of </w:t>
      </w:r>
      <w:r>
        <w:rPr>
          <w:rFonts w:ascii="Times New Roman" w:cs="Times New Roman" w:eastAsia="Times New Roman" w:hAnsi="Times New Roman"/>
          <w:sz w:val="18"/>
          <w:szCs w:val="18"/>
          <w:i w:val="1"/>
          <w:iCs w:val="1"/>
          <w:color w:val="auto"/>
        </w:rPr>
        <w:t>Topic 740, Income Tax</w:t>
      </w:r>
      <w:r>
        <w:rPr>
          <w:rFonts w:ascii="Times New Roman" w:cs="Times New Roman" w:eastAsia="Times New Roman" w:hAnsi="Times New Roman"/>
          <w:sz w:val="18"/>
          <w:szCs w:val="18"/>
          <w:color w:val="auto"/>
        </w:rPr>
        <w:t>. Refundable tax credits are recorded in the interim consolidated financial statements in accordance with their purpose, generally as a reduction of expenses, or a reduction of asset costs. For the three months ended March 31, 2026, tax credits were immaterial to the company's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a summary of changes in accumulated other comprehensive income (loss), net of tax, by component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120" w:type="dxa"/>
            <w:vAlign w:val="bottom"/>
          </w:tcPr>
          <w:p>
            <w:pPr>
              <w:spacing w:after="0"/>
              <w:rPr>
                <w:sz w:val="14"/>
                <w:szCs w:val="14"/>
                <w:color w:val="auto"/>
              </w:rPr>
            </w:pPr>
          </w:p>
        </w:tc>
        <w:tc>
          <w:tcPr>
            <w:tcW w:w="14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20" w:type="dxa"/>
            <w:vAlign w:val="bottom"/>
          </w:tcPr>
          <w:p>
            <w:pPr>
              <w:spacing w:after="0"/>
              <w:rPr>
                <w:sz w:val="14"/>
                <w:szCs w:val="14"/>
                <w:color w:val="auto"/>
              </w:rPr>
            </w:pPr>
          </w:p>
        </w:tc>
        <w:tc>
          <w:tcPr>
            <w:tcW w:w="112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 (loss)</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120" w:type="dxa"/>
            <w:vAlign w:val="bottom"/>
          </w:tcPr>
          <w:p>
            <w:pPr>
              <w:spacing w:after="0"/>
              <w:rPr>
                <w:sz w:val="14"/>
                <w:szCs w:val="14"/>
                <w:color w:val="auto"/>
              </w:rPr>
            </w:pPr>
          </w:p>
        </w:tc>
        <w:tc>
          <w:tcPr>
            <w:tcW w:w="14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20" w:type="dxa"/>
            <w:vAlign w:val="bottom"/>
          </w:tcPr>
          <w:p>
            <w:pPr>
              <w:spacing w:after="0"/>
              <w:rPr>
                <w:sz w:val="14"/>
                <w:szCs w:val="14"/>
                <w:color w:val="auto"/>
              </w:rPr>
            </w:pPr>
          </w:p>
        </w:tc>
        <w:tc>
          <w:tcPr>
            <w:tcW w:w="112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 (loss)</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amounts in the summary of changes in accumulated other comprehensive income (loss) tables, above, are net of tax expense/(benefits) as follows (in millions):</w:t>
      </w:r>
    </w:p>
    <w:p>
      <w:pPr>
        <w:jc w:val="center"/>
        <w:ind w:left="8200"/>
        <w:spacing w:after="0" w:line="238" w:lineRule="auto"/>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for interest rate swaps and foreign currency derivative contracts were reclassified to interest expense and operating expenses, respectively, in the Company’s consolidated statements of comprehensive income during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NET INCOME ATTRIBUTABLE TO COMMON STOCKHOLDERS</w:t>
      </w:r>
    </w:p>
    <w:p>
      <w:pPr>
        <w:spacing w:after="0" w:line="25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attributable to common stockholders (in millions, except per share data):</w:t>
      </w:r>
    </w:p>
    <w:p>
      <w:pPr>
        <w:jc w:val="center"/>
        <w:ind w:left="8200"/>
        <w:spacing w:after="0" w:line="238" w:lineRule="auto"/>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 common stockholders,</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156"/>
        </w:trPr>
        <w:tc>
          <w:tcPr>
            <w:tcW w:w="8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 common stockholders,</w:t>
            </w:r>
          </w:p>
        </w:tc>
        <w:tc>
          <w:tcPr>
            <w:tcW w:w="9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36"/>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 per share, basic</w:t>
            </w:r>
          </w:p>
        </w:tc>
        <w:tc>
          <w:tcPr>
            <w:tcW w:w="940" w:type="dxa"/>
            <w:vAlign w:val="bottom"/>
            <w:tcBorders>
              <w:bottom w:val="single" w:sz="8" w:color="auto"/>
            </w:tcBorders>
          </w:tcPr>
          <w:p>
            <w:pPr>
              <w:jc w:val="right"/>
              <w:ind w:right="732"/>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treasury stock method on a grant-by-grant basis as the method for determining the dilutive effect of options, RSUs and PSUs. Under this method, it is assumed that the hypothetical proceeds received upon settlement are used to repurchase common shares at the average market price during the period. The following outstanding employee equity awards were excluded from the calculation of diluted net income per share because their effect would have been anti-dilutive for the periods presented (in millions):</w:t>
      </w:r>
    </w:p>
    <w:p>
      <w:pPr>
        <w:spacing w:after="0" w:line="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9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6.2 million and 10.3 million PSUs were excluded from the calculation of diluted net income per share for the three months ended March 31, 2026 and 2025, respectively, because the minimum performance measures were not yet met.</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15.</w:t>
        <w:tab/>
        <w:t>SUBSEQUENT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late April 2026, the Company paid its first contingent consideration payment to the shareholders of SuperPlay in the amount of $461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performed a review for subsequent events through the date of these financial statements. No other material items were noted for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one of the world’s leading developers of mobile games creating fun, innovative experiences that entertain and engage our users. We have built best-in-class live game operations services and proprietary technology tools to support our portfolio of games which enable us to drive strong user engagement and monetization. Our games are free-to-play, and we are experts in providing novel, curated in-game content and offers to our users, at optimal points in their game journeys. Our players love our games because they are fun, creative, engaging, and kept fresh through a release of new features that are customized for different player segments. As a result, we have retained paying users over long periods of time.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early 2026, the conflict involving Iran and Israel has intensified into a broader regional confrontation, with Iran and Israel exchanging missile, drone, and air strikes, and with related hostilities also involving Hezbollah in Lebanon, the Houthis in Yemen, and other Iran-aligned groups across the region. Recent reporting indicates that the conflict remains volatile and fluid, with continued diplomatic efforts and the potential for renewed escalation if a lasting arrangement is not reached.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this prolonged regional conflict has not had a direct material financial impact on the Company as of the date of this filing, the Company’s headquarters are located in Israel, and the Company employs approximately 1,175 professionals in Israel, including the majority of the Company’s senior leadership team. The Company continues to actively monitor developments in Israel, Iran, and the broader region, including the possible effects of renewed hostilities, security disruptions, and related operational, supply chain, and personnel risks.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primarily derive revenue from the sale of virtual items associated with online games.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distribute our games to the end customer through various web and mobile platforms, such as Apple and Google and other web and mobile platforms plus our own Direct-to-Consumer (“DTC”) platforms. Through these platforms, users can download our free-to-play games and can purchase virtual items to enhance their game-playing experience. Players can purchase virtual items through various widely accepted payment methods offered in the games. Payments from players for virtual items are non-refundable and relate to non-cancellable contracts that specify our obligations and cannot be redeemed for cash nor exchanged for anything other than virtual items within our games.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games are played on various third-party platforms, some of which allow customers to choose to make purchases through our DTC platform or through the third-party platform. If paid through the third-party platform, the platform providers collect proceeds from our customers and pay us an amount after deducting platform fees. For purchases made through both the third-party and DTC platforms, we are primarily responsible for fulfilling the virtual items, have the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includes payment processing fees, royalties, customer support, hosting fees and depreciation and amortization expenses associated with assets directly involved in the generation of revenues, including servers and internal use software. Payment processing fees and other related expenses for in-app purchases made through our DTC platforms are typically 3-4%. If our players choose to pay through a third-party platform, platform providers (such as Apple and Google)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charge a transactional payment processing fee of 30% to accept payments from our players for such purchases. We generally expect cost of revenue to fluctuate proportionately with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consists of salaries, bonuses, benefits, other compensation, including stock-based compensation and allocated overhead, related to engineering, research, and development. In addition, research and development expenses include depreciation and amortization expenses associated with assets associated with our research and development efforts. We expect that research and development expenses specifically associated with new game development will fluctuate over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consists of costs related to advertising and user acquisition, including costs related to salaries, bonuses, benefits, and other compensation, including stock-based compensation and allocated overhead. In addition, sales and marketing expenses include depreciation and amortization expenses associated with assets related to our sales and marketing efforts. We plan to continue to invest in sales and marketing to retain and acquire users. However, sales and marketing expenses may fluctuate as a percentage of revenues depending on the timing and efficiency of our marketing efforts.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salaries, bonuses, benefits, and other compensation, including stock-based compensation, for all our corporate support functional areas, including our senior leadership. In addition, general and administrative expenses include outsourced professional services such as consulting, legal and accounting services, taxes and dues, insurance premiums, and costs associated with maintaining our property and infrastructure. General and administrative expenses also include depreciation and amortization expenses associated with assets not directly attributable to any of the expense categories above. We also record adjustments to contingent consideration payable recorded after the acquisition date, and legal settlement expenses, as components of general and administrative expense.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net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interest expense includes interest incurred under our Credit Agreement and amortization of deferred financing costs. We expect to continue to incur interest expense under our Credit Agreement, although such interest expense will fluctuate based upon the underlying variable interest rates. We entered into multiple interest rate swap agreements in March 2021 and in January 2023, accumulating to a total notional amount of $1.0 billion, reducing our overall exposure to variable interest rates.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cash, cash equivalents and short-term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adjustments, net, include gains and losses resulting from remeasurement of certain non-USD denominated balance sheet items.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 for income taxes consists of current income taxes in the various jurisdictions where we are subject to taxation, primarily the United States, the United Kingdom, Israel, Germany, and Austria,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can fluctuate based on various factors, including our financial results and the geographic mix to which they relate, the applicability of special tax regimes, changes in our business or operations, examination-related developments and uncertain tax positions, and changes in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net income as revenue minus cost of revenues, research and development, sales and marketing and general and administrative expenses, interest and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 of Playtika Holding Corp</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measure the performance of our business by using several key financial metrics, including revenue and operating income, and operating metrics, including Daily Active Users, Average Revenue per Daily Active User, Paying Users, and Average Revenue per Paying User. These operating metrics help our management to understand and measure the engagement levels of our players, the size of our audience and our reach. See “Basis of Presentation” and “Summary Consolidated Financial and Other Data” for additional information of these measures.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Daily Active Users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Daily Active Users, or DAUs, as the number of individuals who played one of our games during a particular day on a particular platform. Under this metric, an individual who plays two different games on the same day is counted as two DAUs. Similarly, an individual who plays the same game on two different platforms (e.g., web and mobile) or on two different social networks on the same day would be counted as two DAUs. Average DAUs for a particular period is the average of the DAUs for each day during that period. We believe that Daily Active Users is a useful metric to measure the scale and usage of our game platform.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Daily Paying Users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Daily Paying Users, or DPUs, as the number of individuals who purchased, with real world currency, virtual currency or items in any of our games on a particular day. Under this metric, an individual who makes a purchase of virtual currency or items in two different games on the same day is counted as two DPUs. Similarly, an individual who makes a purchase of virtual currency or items in any of our games on two different platforms (e.g., web and mobile) or on two different social networks on the same day could be counted as two DPUs. Average DPUs for a particular period is the average of the DPUs for each day during that period. We believe that Daily Paying Users is a useful metric to measure game monetization.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Daily Payer Conversion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Daily Payer Conversion as the total number of DPUs divided by the number of DAUs on a particular day. Average Daily Payer Conversion for a particular period is the average of the Daily Payer Conversion rates for each day during that period. We believe that Daily Payer Conversion is a useful metric to describe the monetization of our users.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Daily Active User</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Average Revenue per Daily Active User, or ARPDAU, as (i) the total revenue in a given period, (ii) divided by the number of days in that period, (iii) divided by the average DAUs during the period. We believe that ARPDAU is a useful metric to describe monetization.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Monthly Active Users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Monthly Active Users, or MAUs, as the number of individuals who played one of our games during a calendar month on a particular platform. Under this metric, an individual who plays two different games in the same calendar month is counted as two MAUs. Similarly, an individual who plays the same game on two different platforms (e.g., web and mobile) or on two different social networks during the same month would be counted as two MAUs. Average MAUs for a particular period is the average of the MAUs for each month during that period. We believe that MAUs is a useful metric to measure the scale and reach of our platform, but we base our business decisions primarily on daily performance metrics, which we believe more accurately reflect user engagement with our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table below shows the results of our key financial and operating metrics for the periods indicated. Unless otherwise indicated, financial metrics are presented in millions of U.S. Dollars, user statistics are presented in millions of users, and ARPDAU is presented in U.S. Dollars.</w:t>
      </w:r>
    </w:p>
    <w:p>
      <w:pPr>
        <w:jc w:val="center"/>
        <w:ind w:left="7880"/>
        <w:spacing w:after="0" w:line="238" w:lineRule="auto"/>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8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 Average DPUs and ARPDAU)</w:t>
            </w: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744.7</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93"/>
              </w:rPr>
              <w:t>794.3</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125.2</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Non-financial performance metrics</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Average DAUs</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Average DPUs (in thousands)</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Average Daily Payer Conversion</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4.5 %</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ARPDAU</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0.94</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Average MAUs</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30.1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versus the three months ended March 31, 2025</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gridSpan w:val="5"/>
          </w:tcPr>
          <w:p>
            <w:pPr>
              <w:jc w:val="center"/>
              <w:ind w:right="55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ind w:left="251"/>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Cost of revenue</w:t>
            </w:r>
          </w:p>
        </w:tc>
        <w:tc>
          <w:tcPr>
            <w:tcW w:w="9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top w:val="single" w:sz="8" w:color="auto"/>
            </w:tcBorders>
          </w:tcPr>
          <w:p>
            <w:pPr>
              <w:jc w:val="right"/>
              <w:ind w:right="49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192.2</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197.4</w:t>
            </w: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for the three months ended March 31, 2026 increased by $38.7 million when compared with the comparable period of 2025 primarily due to incremental revenues from certain SuperPlay titles which more than offset the decrease in revenues due to reduced monetization primarily in slot-themed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for the three months ended March 31, 2026 decreased by $5.2 million when compared with the comparable period of 2025. The decrease in cost of revenue was primarily driven by a higher proportion of revenue generated through our direct-to-consumer platforms, which incur lower platform fees compared to third-party platforms, partially offset by increased platform fees associated with higher overall revenue and higher royalty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decreased by $5.8 million when compared with the comparable period of 2025. The decrease was primarily attributable to lower headcount and reduced outsourcing spend as well as lower stock-based compensation expense as previously granted awards became fully vested, partially offset by the issuance of fewer new equity awards with lower grant-date fair values. This decrease was offset by severance expense related to the reduction in force during the three months ended 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the three months ended March 31, 2026 increased by $88.8 million when compared with the comparable periods of 2025. The increases in sales and marketing expenses were due largely to increased media buy related to SuperPlay, offset by a decrease in media buy in some other games and in depreciation and amortization related to fully amortized assets. Sales and marketing expenses may materially fluctuate between quarters as a percentage of revenues depending on the timing of our marketing efforts driven primarily by our newly acquired studios such as SuperPlay and InnPlay.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increased by $78.3 million when compared with the comparable period of 2025. The increase was primarily related to the $95 million adjustment to contingent consideration expense for the SuperPlay earnout, offset by a decrease attributable to lower stock-based compensation expense as previously granted awards became fully vested, partially offset by the issuance of fewer new equity awards with lower grant-date fair values.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Factors Affecting Net Income</w:t>
      </w:r>
    </w:p>
    <w:p>
      <w:pPr>
        <w:spacing w:after="0" w:line="5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60" w:type="dxa"/>
            <w:vAlign w:val="bottom"/>
            <w:tcBorders>
              <w:bottom w:val="single" w:sz="8" w:color="auto"/>
            </w:tcBorders>
          </w:tcPr>
          <w:p>
            <w:pPr>
              <w:spacing w:after="0"/>
              <w:rPr>
                <w:sz w:val="19"/>
                <w:szCs w:val="19"/>
                <w:color w:val="auto"/>
              </w:rPr>
            </w:pPr>
          </w:p>
        </w:tc>
      </w:tr>
      <w:tr>
        <w:trPr>
          <w:trHeight w:val="2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5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net</w:t>
            </w: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2026 decreased $1.4 million when compared with the same periods of 2025 as a result of lower variable rate debt balance and lower average interest rates paid on that balance.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March 31, 2026 increased by $1.4 million when compared with the same periods of 2025 as a result of higher balances held in interest bearing cash, cash equivalents and short-term investments, slightly offset by lower average interest rates earned on those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2026 was 22.1% compared to 25.5% for the three months ended March 31, 2025. The effective tax rates were determined using a worldwide estimated annual effective tax rate and took discrete items into consideration. The difference between the effective tax rate and the 21% U.S. federal statutory rate for the three months ended March 31, 2026 was primarily due to changes in estimated value of contingent consideration and tax rates in foreign jurisdictions, partially offset by impacts of tax positions that do not meet the more likely than not standard. The difference between the effective tax rate and the 21% U.S. federal statutory rate for the three months ended March 31, 2025 was primarily due to the inclusion of Global Intangible Low-Taxed Income, tax rates in foreign jurisdictions, state income taxes, and changes in valuation allowances, partially offset by a favorable impact of tax positions that do not meet the more likely than not standard. .</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aggregating all of the components of our results of operations above, net income (loss) for the three months ended March 31, 2026, decreased $88.1 million when compared with the same period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to Net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and should not be construed as an alternative to net income as an indicator of operating performance, nor as an alternative to cash flow provided by operating activities as a measure of liquidity, or any other performance measure in each case as determined in accordance with GAAP.</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Below is a reconciliation of Adjusted EBITDA to net income, the closest GAAP financial measure. Our Credit Agreement defines Adjusted EBITDA as net income before (i) interest expense, (ii) interest income, (iii) provision for income taxes, (iv) depreciation and amortization expense, (v) impairment charges, (vi) stock-based compensation, (vii) contingent consideration, (viii) acquisition and related expenses, and (ix) certain other items. We calculate Adjusted EBITDA Margin as Adjusted EBITDA divided by revenues.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as calculated herein may not be comparable to similarly titled measures reported by other companies within the industry and are not determined in accordance with GAAP. Our presentation of Adjusted EBITDA and Adjusted EBITDA Margin should not be construed as an inference that our future results will be unaffected by unusual or unexpected items.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79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and other,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7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127.0</w:t>
            </w:r>
          </w:p>
        </w:tc>
      </w:tr>
      <w:tr>
        <w:trPr>
          <w:trHeight w:val="230"/>
        </w:trPr>
        <w:tc>
          <w:tcPr>
            <w:tcW w:w="798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25.5</w:t>
            </w:r>
          </w:p>
        </w:tc>
      </w:tr>
      <w:tr>
        <w:trPr>
          <w:trHeight w:val="230"/>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estimated value of contingent consideration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798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Acquisition and related expenses</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798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167.3</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23.7 %</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_______</w:t>
      </w:r>
    </w:p>
    <w:p>
      <w:pPr>
        <w:spacing w:after="0" w:line="210"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stock-based compensation expense related to the issuance of equity awards to our employees and Directors.</w:t>
      </w:r>
    </w:p>
    <w:p>
      <w:pPr>
        <w:ind w:left="660" w:hanging="652"/>
        <w:spacing w:after="0" w:line="212" w:lineRule="auto"/>
        <w:tabs>
          <w:tab w:leader="none" w:pos="33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costs incurred to evaluate and pursue acquisition activities as well as costs incurred by the Company in connection with the evaluation of strategic alternatives.</w:t>
      </w:r>
    </w:p>
    <w:p>
      <w:pPr>
        <w:ind w:left="660" w:right="20" w:hanging="652"/>
        <w:spacing w:after="0" w:line="219" w:lineRule="auto"/>
        <w:tabs>
          <w:tab w:leader="none" w:pos="32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for the three months ended March 31, 2026 consists entirely of severance, and the amount for the three months ended March 31, 2025 consists primarily of $0.7 million of severance incurred by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spending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 capital expenditures in the normal course of business and perform ongoing enhancements and updates to our social and mobile games to maintain our quality standards. Cash used for capital expenditures in the normal course of business is typically made available from cash flows generated by operating activities. We may also pursue acquisition opportunities for additional businesses or social or mobile games that meet our strategic and return on investment criteria. Capital needs are evaluated on an individual opportunity basis and may require significant capital commitments.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the cash flows generated from our operations, currently available unrestricted cash and cash equivalents, short-term highly liquid investments, and borrowings under our $550 million revolving credit facility (the “Revolving Credit Facility”) (together with our senior secured first lien term loan, the “Credit Agreement”). Our cash and cash equivalents and short-term investments totaled $779.2 million and $820.2 million at March 31, 2026 and December 31, 2025, respectively. On April 23, 2025, the Company entered into a Fourth Amendment (the “Fourth Amendment”) to the Credit Agreement which, among other things, decreased the aggregate principal amount of the Revolving Credit Facility from $600 million to $550 million. On February 16, 2026, the Company entered into a Fifth Amendment (the “Fifth Amendment”) to the Credit Agreement which, among other things, extended the maturity of the Revolving Credit Facility to March 6, 2027.</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we had $550 million in additional borrowing capacity pursuant to our Revolving Credit Facility. Payments of short-term debt obligations and other commitments are expected to be made from cash on the balance sheet and operating cash flows. Long-term obligations are expected to be paid through operating cash flows, refinancing of our existing credit facilities or additional debt issuances.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and 2025, our Board of Directors declared quarterly cash dividends of $0.10 per share on the Company’s outstanding common stock. Beginning in 2026, the Board determined to discontinue the regular quarterly dividend as part of a broader capital allocation strategy. The Company remains committed to maintaining financial discipline through a balanced evaluation of strategic growth opportunities, including potential mergers and acquisitions, alongside returns to stockholders and the capital needs of ongoing operations.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fund our operations, pay our debt obligations and fund planned capital expenditures depends, in part, upon economic and other factors that are beyond our control, and disruptions in capital markets could impact our ability to secure additional funds through financing activities. We believe that our cash and cash equivalents balance, short-term investments, restricted cash and cash flows from operations will be sufficient to meet our normal operating requirements during the next 12 months and the foreseeable future and to fund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our cash flows for the periods indicated (in millions):</w:t>
      </w:r>
    </w:p>
    <w:p>
      <w:pPr>
        <w:spacing w:after="0" w:line="5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9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flows provided by operating activities for the three months ended March 31, 2026 was $22.8 million compared with $18.8 million for the same period of 2025. Net cash flows provided by operating activities for each period primarily consisted of net income generated during the period, exclusive of non-cash expenses such as depreciation, amortization, stock-based compensation and changes in the fair value of contingent consideration payable, with changes in working capital impacted by the payment of annual and incentive bonuses and payment of long-term cash compensation during the first quarter and other normal working-capital timing differences.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flow provided by investing activities for the three months ended March 31, 2026 was $115.5 million compared with cash flow used in investing activities of $105.1 million for the same period of 2025. Cash flows related to investing activities generally includes activity related to the purchase of and proceeds from short-term investments and marketable securities as well as outflows related to the purchase and capitalization of assets. The activity for the three months ended March 31, 2026 includes a cash inflow of $135.6 million in proceeds from the sale of marketable securities. The activity for the three months ended March 31, 2025 includes a cash outflow of $79.5 million for the purchase of short-term investments.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used in financing activities for the three months ended March 31, 2026 was $43.6 million, compared with $47.4 million for the same period of 2025. Financing activity cash flows for the three months ended March 31, 2026 and 2025 primarily relates to cash dividends paid and repayments on our bank borrowings and for the three months ended March 31, 2025 includes $4.8 million of cash paid for repurchases of common stock under the Company’s stock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$1.9 billion senior secured first lien term loan (the “Term Loan”) maturing on March 11, 2028, and a $550 million Revolving Credit Facility (together, the “Credit Agreement”) maturing on March 6, 2027. The Term Loan requires quarterly principal payments equal to 0.25% of the original aggregate principal amount of the Term Loan with balance due at maturity.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11, 2021, we issued $600.0 million aggregate principal amount of our 4.250% senior notes due 2029 (the “Notes”). The Notes mature on March 15, 2029. Interest on the Notes will accrue at a rate of 4.250% per annum. Interest on the Notes is payable semi-annually in cash in arrears on March 15 and September 15 of each year, commencing on September 15, 2021.</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Significant terms of the Credit Facilities, the Term Loan and the Notes, including balances outstanding, interest and fees, mandatory and voluntary prepayment requirements, collateral and guarantors and restrictive covenants are detailed in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accompanying consolidated financial statements and in</w:t>
      </w:r>
      <w:r>
        <w:rPr>
          <w:rFonts w:ascii="Times New Roman" w:cs="Times New Roman" w:eastAsia="Times New Roman" w:hAnsi="Times New Roman"/>
          <w:sz w:val="18"/>
          <w:szCs w:val="18"/>
          <w:i w:val="1"/>
          <w:iCs w:val="1"/>
          <w:color w:val="auto"/>
        </w:rPr>
        <w:t xml:space="preserve"> Note 13, Debt, </w:t>
      </w:r>
      <w:r>
        <w:rPr>
          <w:rFonts w:ascii="Times New Roman" w:cs="Times New Roman" w:eastAsia="Times New Roman" w:hAnsi="Times New Roman"/>
          <w:sz w:val="18"/>
          <w:szCs w:val="18"/>
          <w:color w:val="auto"/>
        </w:rPr>
        <w:t>in our Annual Report on Form 10-K filed with the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Commission (the “SEC”) on February 26, 2026.</w:t>
      </w:r>
    </w:p>
    <w:p>
      <w:pPr>
        <w:spacing w:after="0" w:line="1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risk, investment risk, and foreign currency risk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exposures to market risk for changes in interest rates relate primarily to our Term Loan and our Revolving Credit Facility. The Term Loan and our Revolving Credit Facility are floating rate facilities. Therefore, fluctuations in interest rates will impact the amount of interest expense we incur and have to pay.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2021, we entered into two interest rate swap agreements, each with a notional value of $250 million. Each of these swap agreements is with a different financial institution as the counterparty to reduce our counterparty risk. Each swap requires us to pay a fixed interest rate of 0.9275% in exchange for receiving one-month LIBOR. The interest rate swap agreements settle monthly commencing in April 2021 through their termination dates on April 30, 2026. In June 2023 these two interest rate swap agreements were amended, so that effective July 31, 2023, we pay a fixed interest rate of 0.85% in exchange for receiving one-month Term SOFR.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we entered into two additional interest rate swap agreements, each with a notional value of $250 million. Each of these swap agreements is with a different financial institution, and each swap requires us to pay a fixed interest rate of 3.435% in exchange for receiving one-month LIBOR for six months and one-month Term SOFR afterwards. The interest rate swap agreements settle monthly commencing in February 2023 through their termination dates on February 28, 2028.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our interest rate swap agreements is derived from a discounted cash flow analysis.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borrowings outstanding under our Term Loan with book values of $1,790.3 million and $1,793.2 million at March 31, 2026 and December 31, 2025, respectively, which were subject to a weighted average interest rate of 6.552% and 6.879% for the three months ended March 31, 2026 and the year ended December 31, 2025, respectively. There were no borrowings against our Revolving Credit Facility at March 31, 2026 or December 31, 2025. The Notes bear interest at a fixed rate of 4.250% per annum and accordingly do not vary with prevailing interest rates.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hypothetical 100 basis point increase or decrease in weighted average interest rates under our Term Loan would have increased or decreased our interest expense by $8.1 million over a twelve-month period, including consideration of the impact the hypothetical basis point change would have had on our interest rate swap agreements.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senior notes will generally fluctuate with movements of interest rates, increasing in periods of declining rates of interest and declining in periods of increasing rates of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100 basis point increase in interest rates would have decreased the fair value of our senior notes by $11.5 million as of March 31,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100 basis point decrease in interest rates would have increased the fair value of our senior notes by $12.6 million as of March 31,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including restricted cash totaling $780.7 million and $685.7 million as of March 31, 2026 and December 31, 2025, respectively. We also had short-term investments of $136.0 million as of December 31, 2025. Our investment policy and strategy primarily attempts to preserve capital and meet liquidity requirements without significantly increasing risk. Our cash and cash equivalents and short-term investments primarily consist of commercial papers, bank</w:t>
      </w:r>
    </w:p>
    <w:p>
      <w:pPr>
        <w:sectPr>
          <w:pgSz w:w="11900" w:h="16838" w:orient="portrait"/>
          <w:cols w:equalWidth="0" w:num="1">
            <w:col w:w="11240"/>
          </w:cols>
          <w:pgMar w:left="320" w:top="14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37" w:name="page38"/>
    <w:bookmarkEnd w:id="3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deposits and money market funds. We do not enter into investments for trading or speculative purposes. Changes in rates would primarily impact interest income due to the relatively short-term nature of our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functional currency is the U.S. Dollar and most of our revenues are denominated in U.S. Dollars. However, we have foreign currency risks related to a significant portion of our operating expenses, consisting of headcount related expenses as well as certain other operating expenses, denominated in currencies other than the U.S. Dollar, primarily the Euro (“EUR”), Israeli Shekel (“ILS”), Polish Zloty (“PLN”) and Romanian Leu (“RON”). Accordingly, changes in exchange rates in the future may negatively affect our future revenues and other operating results as expressed in U.S. Dollars. Our foreign currency risk is partially mitigated as our revenues recognized in currencies other than the U.S. Dollar is diversified across geographic regions and we incur expenses in the same currencies in these regions.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as a result of transaction gains or losses related to remeasurement of our asset and liability balances that are denominated in currencies other than the functional currency of the entities in which they are recorded.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had entered into derivative contracts to purchase certain foreign currencies at future dates. The approximate amount of hedges was equal to $245.4 million, and all contracts are expected to mature during the upcoming 12 months.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31, 2026, the end of the period covered by this Quarterly Report on Form 10-Q. Based upon that evaluation, our Chief Executive Officer and Chief Financial Officer concluded that our disclosure controls and procedures were effective at the reasonable assurance level as of March 31, 2026.</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2026, there were no changes in internal control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 description of our legal proceedings, see </w:t>
      </w:r>
      <w:r>
        <w:rPr>
          <w:rFonts w:ascii="Times New Roman" w:cs="Times New Roman" w:eastAsia="Times New Roman" w:hAnsi="Times New Roman"/>
          <w:sz w:val="18"/>
          <w:szCs w:val="18"/>
          <w:i w:val="1"/>
          <w:iCs w:val="1"/>
          <w:color w:val="auto"/>
        </w:rPr>
        <w:t>Note 8, Commitments and Contingencies</w:t>
      </w:r>
      <w:r>
        <w:rPr>
          <w:rFonts w:ascii="Times New Roman" w:cs="Times New Roman" w:eastAsia="Times New Roman" w:hAnsi="Times New Roman"/>
          <w:sz w:val="18"/>
          <w:szCs w:val="18"/>
          <w:color w:val="auto"/>
        </w:rPr>
        <w:t>, included in Part I. Item I of this quarterly report on Form 10-Q.</w:t>
      </w:r>
    </w:p>
    <w:p>
      <w:pPr>
        <w:spacing w:after="0" w:line="2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2025, which factors could materially affect our business, financial condition, liquidity or future results. There have been no material changes to the risk factors described in the “Risk Factors” section in our Annual Report on Form 10-K for the year ended December 31, 2025. The risks described in our Annual Report on Form 10-K are not the only risks facing our company. Additional risks and uncertainties not currently known to us or that we currently deem to be immaterial also may materially adversely affect our business, financial condition, liquidity, results of operations, prospects or stock price.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9, 2024, we announced that our Board of Directors authorized a stock repurchase program for up to $150.0 million of our common stock. Under the repurchase program, repurchases can be made using a variety of methods, which may include open market purchases, privately negotiated transactions or otherwise, all in accordance with the rules of the Securities and Exchange Commission and other applicable legal requirements. The specific timing, price and size of purchases will depend on prevailing stock prices, general economic and market conditions, and other considerations. The repurchase program does not obligate us to acquire any particular amount of common stock, and the repurchase program may be suspended or discontinued at any time at the our discretion.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common stock repurchases during the quarter ended March 31,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officers or directors adopted or terminated any “Rule 10b5-1 trading arrangement” or any “non-Rule 10b5-1 trading arrangement,” in each case,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4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2"/>
        </w:trPr>
        <w:tc>
          <w:tcPr>
            <w:tcW w:w="1420" w:type="dxa"/>
            <w:vAlign w:val="bottom"/>
            <w:gridSpan w:val="3"/>
            <w:vMerge w:val="continue"/>
          </w:tcPr>
          <w:p>
            <w:pPr>
              <w:spacing w:after="0"/>
              <w:rPr>
                <w:sz w:val="14"/>
                <w:szCs w:val="14"/>
                <w:color w:val="auto"/>
              </w:rPr>
            </w:pPr>
          </w:p>
        </w:tc>
        <w:tc>
          <w:tcPr>
            <w:tcW w:w="8800" w:type="dxa"/>
            <w:vAlign w:val="bottom"/>
            <w:gridSpan w:val="4"/>
            <w:vMerge w:val="restart"/>
          </w:tcPr>
          <w:p>
            <w:pPr>
              <w:ind w:left="368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142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800" w:type="dxa"/>
            <w:vAlign w:val="bottom"/>
            <w:gridSpan w:val="4"/>
            <w:vMerge w:val="continue"/>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91"/>
        </w:trPr>
        <w:tc>
          <w:tcPr>
            <w:tcW w:w="820" w:type="dxa"/>
            <w:vAlign w:val="bottom"/>
            <w:tcBorders>
              <w:top w:val="single" w:sz="8" w:color="auto"/>
              <w:bottom w:val="single" w:sz="8" w:color="CCEEFF"/>
            </w:tcBorders>
            <w:shd w:val="clear" w:color="auto" w:fill="CCEEFF"/>
          </w:tcPr>
          <w:p>
            <w:pPr>
              <w:ind w:left="100"/>
              <w:spacing w:after="0" w:line="171" w:lineRule="exact"/>
              <w:rPr>
                <w:sz w:val="20"/>
                <w:szCs w:val="20"/>
                <w:color w:val="auto"/>
              </w:rPr>
            </w:pPr>
            <w:r>
              <w:rPr>
                <w:rFonts w:ascii="Times New Roman" w:cs="Times New Roman" w:eastAsia="Times New Roman" w:hAnsi="Times New Roman"/>
                <w:sz w:val="16"/>
                <w:szCs w:val="16"/>
                <w:color w:val="auto"/>
              </w:rPr>
              <w:t>31.1</w:t>
            </w: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80" w:type="dxa"/>
            <w:vAlign w:val="bottom"/>
            <w:tcBorders>
              <w:top w:val="single" w:sz="8" w:color="auto"/>
              <w:bottom w:val="single" w:sz="8" w:color="0000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0000FF"/>
              </w:rPr>
              <w:t>Certification of Chief Executive Officer pursuant to Section 302 of the Sarbanes-Oxley Act of 2002</w:t>
            </w:r>
          </w:p>
        </w:tc>
        <w:tc>
          <w:tcPr>
            <w:tcW w:w="22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2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0000FF"/>
              </w:rPr>
              <w:t>Certification of Chief Financial Officer pursuant to Section 302 of the Sarbanes-Oxley Act of 2002</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80" w:type="dxa"/>
            <w:vAlign w:val="bottom"/>
            <w:tcBorders>
              <w:bottom w:val="single" w:sz="8" w:color="0000FF"/>
            </w:tcBorders>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Certification of Chief Executive Officer pursuant to Section 906 of the Sarbanes-Oxley Act of 2002</w:t>
            </w:r>
          </w:p>
        </w:tc>
        <w:tc>
          <w:tcPr>
            <w:tcW w:w="2320" w:type="dxa"/>
            <w:vAlign w:val="bottom"/>
            <w:tcBorders>
              <w:bottom w:val="single" w:sz="8" w:color="CCEEFF"/>
            </w:tcBorders>
            <w:gridSpan w:val="2"/>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32.2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0000FF"/>
              </w:rPr>
              <w:t>Certification of Chief Financial Officer pursuant to Section 906 of the Sarbanes-Oxley Act of 2002</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101.INS</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101.SCH</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101.CAL</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101.DEF</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Calculation Definition Document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101.LAB</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101.PRE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440" w:hanging="1333"/>
        <w:spacing w:after="0"/>
        <w:tabs>
          <w:tab w:leader="none" w:pos="14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w:t>
      </w:r>
    </w:p>
    <w:p>
      <w:pPr>
        <w:spacing w:after="0" w:line="256"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PLAYTIKA HOLDING CORP.</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8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7890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Robert Antokol</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Executive Officer, President and Chairperson of the Board</w:t>
      </w:r>
    </w:p>
    <w:p>
      <w:pPr>
        <w:spacing w:after="0" w:line="28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/s/ Tae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7890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Tae Lee</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as of May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Certification of</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Chief Executive Officer Pursuant to Section 302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Robert Antokol, certify that:</w:t>
      </w:r>
    </w:p>
    <w:p>
      <w:pPr>
        <w:spacing w:after="0" w:line="248"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Playtika Holding Corp.;</w:t>
      </w:r>
    </w:p>
    <w:p>
      <w:pPr>
        <w:spacing w:after="0" w:line="248"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31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660" w:hanging="652"/>
        <w:spacing w:after="0" w:line="298" w:lineRule="auto"/>
        <w:tabs>
          <w:tab w:leader="none" w:pos="32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have:</w:t>
      </w:r>
    </w:p>
    <w:p>
      <w:pPr>
        <w:spacing w:after="0" w:line="243" w:lineRule="exact"/>
        <w:rPr>
          <w:rFonts w:ascii="Times New Roman" w:cs="Times New Roman" w:eastAsia="Times New Roman" w:hAnsi="Times New Roman"/>
          <w:sz w:val="16"/>
          <w:szCs w:val="16"/>
          <w:color w:val="auto"/>
        </w:rPr>
      </w:pPr>
    </w:p>
    <w:p>
      <w:pPr>
        <w:ind w:left="1300" w:hanging="644"/>
        <w:spacing w:after="0" w:line="263" w:lineRule="auto"/>
        <w:tabs>
          <w:tab w:leader="none" w:pos="1002"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Times New Roman" w:cs="Times New Roman" w:eastAsia="Times New Roman" w:hAnsi="Times New Roman"/>
          <w:sz w:val="16"/>
          <w:szCs w:val="16"/>
          <w:color w:val="auto"/>
        </w:rPr>
      </w:pPr>
    </w:p>
    <w:p>
      <w:pPr>
        <w:ind w:left="1300" w:hanging="644"/>
        <w:spacing w:after="0" w:line="272" w:lineRule="auto"/>
        <w:tabs>
          <w:tab w:leader="none" w:pos="1027"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1300" w:hanging="644"/>
        <w:spacing w:after="0" w:line="280" w:lineRule="auto"/>
        <w:tabs>
          <w:tab w:leader="none" w:pos="985"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hanging="644"/>
        <w:spacing w:after="0" w:line="272" w:lineRule="auto"/>
        <w:tabs>
          <w:tab w:leader="none" w:pos="984"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Times New Roman" w:cs="Times New Roman" w:eastAsia="Times New Roman" w:hAnsi="Times New Roman"/>
          <w:sz w:val="16"/>
          <w:szCs w:val="16"/>
          <w:color w:val="auto"/>
        </w:rPr>
      </w:pPr>
    </w:p>
    <w:p>
      <w:pPr>
        <w:ind w:left="660" w:hanging="652"/>
        <w:spacing w:after="0" w:line="280" w:lineRule="auto"/>
        <w:tabs>
          <w:tab w:leader="none" w:pos="3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20" w:hanging="644"/>
        <w:spacing w:after="0" w:line="280" w:lineRule="auto"/>
        <w:tabs>
          <w:tab w:leader="none" w:pos="1015"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300" w:right="20" w:hanging="644"/>
        <w:spacing w:after="0" w:line="280" w:lineRule="auto"/>
        <w:tabs>
          <w:tab w:leader="none" w:pos="959"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20"/>
        <w:spacing w:after="0"/>
        <w:tabs>
          <w:tab w:leader="none" w:pos="4920" w:val="left"/>
        </w:tabs>
        <w:rPr>
          <w:sz w:val="20"/>
          <w:szCs w:val="20"/>
          <w:color w:val="auto"/>
        </w:rPr>
      </w:pPr>
      <w:r>
        <w:rPr>
          <w:rFonts w:ascii="Times New Roman" w:cs="Times New Roman" w:eastAsia="Times New Roman" w:hAnsi="Times New Roman"/>
          <w:sz w:val="16"/>
          <w:szCs w:val="16"/>
          <w:color w:val="auto"/>
        </w:rPr>
        <w:t>May 7, 2026</w:t>
      </w:r>
      <w:r>
        <w:rPr>
          <w:sz w:val="20"/>
          <w:szCs w:val="20"/>
          <w:color w:val="auto"/>
        </w:rPr>
        <w:tab/>
      </w:r>
      <w:r>
        <w:rPr>
          <w:rFonts w:ascii="Times New Roman" w:cs="Times New Roman" w:eastAsia="Times New Roman" w:hAnsi="Times New Roman"/>
          <w:sz w:val="16"/>
          <w:szCs w:val="16"/>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20320</wp:posOffset>
            </wp:positionV>
            <wp:extent cx="38404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Robert Antokol</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Chief Executive Officer, President and Chairperson of the Board</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142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Certification of</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Chief Financial Officer Pursuant to Section 302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Tae Lee, certify that:</w:t>
      </w:r>
    </w:p>
    <w:p>
      <w:pPr>
        <w:spacing w:after="0" w:line="248"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Playtika Holding Corp.;</w:t>
      </w:r>
    </w:p>
    <w:p>
      <w:pPr>
        <w:spacing w:after="0" w:line="248"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31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660" w:hanging="652"/>
        <w:spacing w:after="0" w:line="298" w:lineRule="auto"/>
        <w:tabs>
          <w:tab w:leader="none" w:pos="32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have:</w:t>
      </w:r>
    </w:p>
    <w:p>
      <w:pPr>
        <w:spacing w:after="0" w:line="243" w:lineRule="exact"/>
        <w:rPr>
          <w:rFonts w:ascii="Times New Roman" w:cs="Times New Roman" w:eastAsia="Times New Roman" w:hAnsi="Times New Roman"/>
          <w:sz w:val="16"/>
          <w:szCs w:val="16"/>
          <w:color w:val="auto"/>
        </w:rPr>
      </w:pPr>
    </w:p>
    <w:p>
      <w:pPr>
        <w:ind w:left="1300" w:hanging="644"/>
        <w:spacing w:after="0" w:line="263" w:lineRule="auto"/>
        <w:tabs>
          <w:tab w:leader="none" w:pos="1002"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Times New Roman" w:cs="Times New Roman" w:eastAsia="Times New Roman" w:hAnsi="Times New Roman"/>
          <w:sz w:val="16"/>
          <w:szCs w:val="16"/>
          <w:color w:val="auto"/>
        </w:rPr>
      </w:pPr>
    </w:p>
    <w:p>
      <w:pPr>
        <w:ind w:left="1300" w:hanging="644"/>
        <w:spacing w:after="0" w:line="272" w:lineRule="auto"/>
        <w:tabs>
          <w:tab w:leader="none" w:pos="1027"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1300" w:hanging="644"/>
        <w:spacing w:after="0" w:line="280" w:lineRule="auto"/>
        <w:tabs>
          <w:tab w:leader="none" w:pos="985"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hanging="644"/>
        <w:spacing w:after="0" w:line="272" w:lineRule="auto"/>
        <w:tabs>
          <w:tab w:leader="none" w:pos="984"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Times New Roman" w:cs="Times New Roman" w:eastAsia="Times New Roman" w:hAnsi="Times New Roman"/>
          <w:sz w:val="16"/>
          <w:szCs w:val="16"/>
          <w:color w:val="auto"/>
        </w:rPr>
      </w:pPr>
    </w:p>
    <w:p>
      <w:pPr>
        <w:ind w:left="660" w:hanging="652"/>
        <w:spacing w:after="0" w:line="280" w:lineRule="auto"/>
        <w:tabs>
          <w:tab w:leader="none" w:pos="36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20" w:hanging="644"/>
        <w:spacing w:after="0" w:line="280" w:lineRule="auto"/>
        <w:tabs>
          <w:tab w:leader="none" w:pos="1015"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300" w:right="20" w:hanging="644"/>
        <w:spacing w:after="0" w:line="280" w:lineRule="auto"/>
        <w:tabs>
          <w:tab w:leader="none" w:pos="959"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28" w:lineRule="exact"/>
        <w:rPr>
          <w:sz w:val="20"/>
          <w:szCs w:val="20"/>
          <w:color w:val="auto"/>
        </w:rPr>
      </w:pPr>
    </w:p>
    <w:p>
      <w:pPr>
        <w:ind w:left="20"/>
        <w:spacing w:after="0"/>
        <w:tabs>
          <w:tab w:leader="none" w:pos="4920" w:val="left"/>
        </w:tabs>
        <w:rPr>
          <w:sz w:val="20"/>
          <w:szCs w:val="20"/>
          <w:color w:val="auto"/>
        </w:rPr>
      </w:pPr>
      <w:r>
        <w:rPr>
          <w:rFonts w:ascii="Times New Roman" w:cs="Times New Roman" w:eastAsia="Times New Roman" w:hAnsi="Times New Roman"/>
          <w:sz w:val="16"/>
          <w:szCs w:val="16"/>
          <w:color w:val="auto"/>
        </w:rPr>
        <w:t>May 7, 2026</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 Tae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24765</wp:posOffset>
            </wp:positionV>
            <wp:extent cx="38404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Tae Lee</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142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89" w:lineRule="exact"/>
        <w:rPr>
          <w:sz w:val="20"/>
          <w:szCs w:val="20"/>
          <w:color w:val="auto"/>
        </w:rPr>
      </w:pPr>
    </w:p>
    <w:p>
      <w:pPr>
        <w:ind w:left="660" w:hanging="652"/>
        <w:spacing w:after="0" w:line="282" w:lineRule="auto"/>
        <w:tabs>
          <w:tab w:leader="none" w:pos="4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2026 (the “Report”) fully complies with the requirements of Section 13(a) or Section 15(d), as applicable,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17145</wp:posOffset>
            </wp:positionV>
            <wp:extent cx="41573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Robert Antokol</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Chief Executive Officer, President and Chairperson of the Board</w:t>
      </w:r>
    </w:p>
    <w:p>
      <w:pPr>
        <w:spacing w:after="0" w:line="2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89" w:lineRule="exact"/>
        <w:rPr>
          <w:sz w:val="20"/>
          <w:szCs w:val="20"/>
          <w:color w:val="auto"/>
        </w:rPr>
      </w:pPr>
    </w:p>
    <w:p>
      <w:pPr>
        <w:ind w:left="660" w:hanging="652"/>
        <w:spacing w:after="0" w:line="282" w:lineRule="auto"/>
        <w:tabs>
          <w:tab w:leader="none" w:pos="4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2026 (the “Report”) fully complies with the requirements of Section 13(a) or Section 15(d), as applicable,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9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By: /s/ Tae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Tae Lee</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lvl w:ilvl="1">
      <w:lvlJc w:val="left"/>
      <w:lvlText w:val="%2"/>
      <w:numFmt w:val="decimal"/>
      <w:start w:val="10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2026-05-07T07:49:17Z</dcterms:created>
  <dcterms:modified xsi:type="dcterms:W3CDTF">2026-05-07T07:49:17Z</dcterms:modified>
</cp:coreProperties>
</file>