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Antokol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PLAYTIKA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HACHOSHLIM ST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HERZLIYA PITUACH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ISRAEL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4672408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Playtika Holding Corp.</w:t>
              </w:r>
            </w:hyperlink>
            <w:r>
              <w:rPr/>
              <w:t xml:space="preserve"> [ </w:t>
            </w:r>
            <w:r>
              <w:rPr>
                <w:rFonts w:ascii="Times;serif" w:hAnsi="Times;serif"/>
                <w:color w:val="0000FF"/>
                <w:sz w:val="24"/>
                <w:shd w:fill="FFFFFF" w:val="clear"/>
              </w:rPr>
              <w:t>PLTK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1180"/>
        <w:gridCol w:w="429"/>
        <w:gridCol w:w="649"/>
        <w:gridCol w:w="1337"/>
        <w:gridCol w:w="966"/>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1,122,694</w:t>
            </w:r>
            <w:r>
              <w:rPr>
                <w:rFonts w:ascii="Times;serif" w:hAnsi="Times;serif"/>
                <w:color w:val="008000"/>
                <w:position w:val="7"/>
                <w:sz w:val="16"/>
                <w:sz w:val="20"/>
                <w:shd w:fill="FFFFFF" w:val="clear"/>
              </w:rPr>
              <w:t>(1)</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20,620,549</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07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1026"/>
        <w:gridCol w:w="276"/>
        <w:gridCol w:w="906"/>
        <w:gridCol w:w="801"/>
        <w:gridCol w:w="891"/>
        <w:gridCol w:w="1161"/>
        <w:gridCol w:w="801"/>
        <w:gridCol w:w="966"/>
        <w:gridCol w:w="831"/>
        <w:gridCol w:w="846"/>
      </w:tblGrid>
      <w:tr>
        <w:trPr>
          <w:tblHeader w:val="true"/>
        </w:trPr>
        <w:tc>
          <w:tcPr>
            <w:tcW w:w="130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2,245,389</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2,245,389</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3,838,853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on August 4, 2026. 1/12th of the total number of RSUs will vest quarterly on November 15, February 15, May 15 and August 15, starting on November 15, 2026, and ending on August 15, 2029, subject to the Reporting Person's continued employment or service to the Issuer through the applicable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stock units ("PSUs") granted to the Reporting Person on August 4, 2026, with a three-year performance period beginning on September 1, 2026, and ending on August 31, 2029. One third of the total number of PSUs will be eligible to vest upon each of the three annual determination dates, based on the Issuer's total shareholder return for that year, and subject to the Reporting Person's continued employment or service to the Issuer through the applicable vesting date. Each PSU represents a contingent right to receive one share of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Chairperson, CEO and President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Cohen, Attorney-in-Fact for Robert Antokol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8865" TargetMode="External"/><Relationship Id="rId5" Type="http://schemas.openxmlformats.org/officeDocument/2006/relationships/hyperlink" Target="http://www.sec.gov/cgi-bin/browse-edgar?action=getcompany&amp;CIK=0001828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4134</Characters>
  <CharactersWithSpaces>4814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