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Tae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PLAYTIKA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HACHOSLIM ST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 PITUACH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ISRAEL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4672408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Playtika Holding Corp.</w:t>
              </w:r>
            </w:hyperlink>
            <w:r>
              <w:rPr/>
              <w:t xml:space="preserve"> [ </w:t>
            </w:r>
            <w:r>
              <w:rPr>
                <w:rFonts w:ascii="Times;serif" w:hAnsi="Times;serif"/>
                <w:color w:val="0000FF"/>
                <w:sz w:val="24"/>
                <w:shd w:fill="FFFFFF" w:val="clear"/>
              </w:rPr>
              <w:t>PLTK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346,051</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534,368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1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76"/>
        <w:gridCol w:w="276"/>
        <w:gridCol w:w="906"/>
        <w:gridCol w:w="801"/>
        <w:gridCol w:w="891"/>
        <w:gridCol w:w="98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692,101</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692,101</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692,101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on August 4, 2026. 1/12th of the total number of RSUs will vest quarterly on November 15, February 15, May 15 and August 15, starting on November 15, 2026, and ending on August 15, 2029, subject to the Reporting Person's continued employment or service to the Issuer through the applicable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stock units ("PSUs") granted to the Reporting Person on August 4, 2026, with a three-year performance period beginning on September 1, 2026, and ending on August 31, 2029. One third of the total number of PSUs will be eligible to vest upon each of the three annual determination dates, based on the Issuer's total shareholder return for that year, and subject to the Reporting Person's continued employment or service to the Issuer through the applicable vesting date. Each PSU represents a contingent right to receive one share of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Cohen, as attorney in fact for Tae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_leet.txt"/>
      <w:bookmarkStart w:id="3" w:name="kspoa_leet"/>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With respect to holdings of and transactions in securities</w:t>
      </w:r>
    </w:p>
    <w:p>
      <w:pPr>
        <w:pStyle w:val="PreformattedText"/>
        <w:bidi w:val="0"/>
        <w:spacing w:before="0" w:after="0"/>
        <w:jc w:val="left"/>
        <w:rPr/>
      </w:pPr>
      <w:r>
        <w:rPr/>
        <w:t>issued by Playtika Holdings, Inc. (the "Company"), the</w:t>
      </w:r>
    </w:p>
    <w:p>
      <w:pPr>
        <w:pStyle w:val="PreformattedText"/>
        <w:bidi w:val="0"/>
        <w:spacing w:before="0" w:after="0"/>
        <w:jc w:val="left"/>
        <w:rPr/>
      </w:pPr>
      <w:r>
        <w:rPr/>
        <w:t>undersigned hereby constitutes and appoints Michael Cohen</w:t>
      </w:r>
    </w:p>
    <w:p>
      <w:pPr>
        <w:pStyle w:val="PreformattedText"/>
        <w:bidi w:val="0"/>
        <w:spacing w:before="0" w:after="0"/>
        <w:jc w:val="left"/>
        <w:rPr/>
      </w:pPr>
      <w:r>
        <w:rPr/>
        <w:t>and John Kang with full power of substitution and resubstitution,</w:t>
      </w:r>
    </w:p>
    <w:p>
      <w:pPr>
        <w:pStyle w:val="PreformattedText"/>
        <w:bidi w:val="0"/>
        <w:spacing w:before="0" w:after="0"/>
        <w:jc w:val="left"/>
        <w:rPr/>
      </w:pPr>
      <w:r>
        <w:rPr/>
        <w:t>to act as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Schedules 13D</w:t>
      </w:r>
    </w:p>
    <w:p>
      <w:pPr>
        <w:pStyle w:val="PreformattedText"/>
        <w:bidi w:val="0"/>
        <w:spacing w:before="0" w:after="0"/>
        <w:jc w:val="left"/>
        <w:rPr/>
      </w:pPr>
      <w:r>
        <w:rPr/>
        <w:t>and 13G in accordance with Section 13 of the Securities</w:t>
      </w:r>
    </w:p>
    <w:p>
      <w:pPr>
        <w:pStyle w:val="PreformattedText"/>
        <w:bidi w:val="0"/>
        <w:spacing w:before="0" w:after="0"/>
        <w:jc w:val="left"/>
        <w:rPr/>
      </w:pPr>
      <w:r>
        <w:rPr/>
        <w:t>Exchange Act of 1934, as amended (the "Exchange Act"), and the</w:t>
      </w:r>
    </w:p>
    <w:p>
      <w:pPr>
        <w:pStyle w:val="PreformattedText"/>
        <w:bidi w:val="0"/>
        <w:spacing w:before="0" w:after="0"/>
        <w:jc w:val="left"/>
        <w:rPr/>
      </w:pPr>
      <w:r>
        <w:rPr/>
        <w:t>rules thereunder, and Forms 3, 4, and 5 in accordance with</w:t>
      </w:r>
    </w:p>
    <w:p>
      <w:pPr>
        <w:pStyle w:val="PreformattedText"/>
        <w:bidi w:val="0"/>
        <w:spacing w:before="0" w:after="0"/>
        <w:jc w:val="left"/>
        <w:rPr/>
      </w:pPr>
      <w:r>
        <w:rPr/>
        <w:t>Section 16 of the Exchange Act and the rules thereunder; and</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w:t>
      </w:r>
    </w:p>
    <w:p>
      <w:pPr>
        <w:pStyle w:val="PreformattedText"/>
        <w:bidi w:val="0"/>
        <w:spacing w:before="0" w:after="0"/>
        <w:jc w:val="left"/>
        <w:rPr/>
      </w:pPr>
      <w:r>
        <w:rPr/>
        <w:t>undersigned which may be necessary or desirable to complete and</w:t>
      </w:r>
    </w:p>
    <w:p>
      <w:pPr>
        <w:pStyle w:val="PreformattedText"/>
        <w:bidi w:val="0"/>
        <w:spacing w:before="0" w:after="0"/>
        <w:jc w:val="left"/>
        <w:rPr/>
      </w:pPr>
      <w:r>
        <w:rPr/>
        <w:t>execute any such Schedule 13D or 13G or Form 3, 4, or 5, complete</w:t>
      </w:r>
    </w:p>
    <w:p>
      <w:pPr>
        <w:pStyle w:val="PreformattedText"/>
        <w:bidi w:val="0"/>
        <w:spacing w:before="0" w:after="0"/>
        <w:jc w:val="left"/>
        <w:rPr/>
      </w:pPr>
      <w:r>
        <w:rPr/>
        <w:t>and execute any amendment or amendments thereto, and timely file</w:t>
      </w:r>
    </w:p>
    <w:p>
      <w:pPr>
        <w:pStyle w:val="PreformattedText"/>
        <w:bidi w:val="0"/>
        <w:spacing w:before="0" w:after="0"/>
        <w:jc w:val="left"/>
        <w:rPr/>
      </w:pPr>
      <w:r>
        <w:rPr/>
        <w:t>such schedule or form with the SEC and any stock exchange or</w:t>
      </w:r>
    </w:p>
    <w:p>
      <w:pPr>
        <w:pStyle w:val="PreformattedText"/>
        <w:bidi w:val="0"/>
        <w:spacing w:before="0" w:after="0"/>
        <w:jc w:val="left"/>
        <w:rPr/>
      </w:pPr>
      <w:r>
        <w:rPr/>
        <w:t>similar authority.</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such attorney-in-fact</w:t>
      </w:r>
    </w:p>
    <w:p>
      <w:pPr>
        <w:pStyle w:val="PreformattedText"/>
        <w:bidi w:val="0"/>
        <w:spacing w:before="0" w:after="0"/>
        <w:jc w:val="left"/>
        <w:rPr/>
      </w:pPr>
      <w:r>
        <w:rPr/>
        <w:t>full power and authority to do and perform any and every act and</w:t>
      </w:r>
    </w:p>
    <w:p>
      <w:pPr>
        <w:pStyle w:val="PreformattedText"/>
        <w:bidi w:val="0"/>
        <w:spacing w:before="0" w:after="0"/>
        <w:jc w:val="left"/>
        <w:rPr/>
      </w:pPr>
      <w:r>
        <w:rPr/>
        <w:t>thing whatsoever requisite, necessary, or proper to be done in</w:t>
      </w:r>
    </w:p>
    <w:p>
      <w:pPr>
        <w:pStyle w:val="PreformattedText"/>
        <w:bidi w:val="0"/>
        <w:spacing w:before="0" w:after="0"/>
        <w:jc w:val="left"/>
        <w:rPr/>
      </w:pPr>
      <w:r>
        <w:rPr/>
        <w:t>the exercise of any of the rights and powers herein granted, as</w:t>
      </w:r>
    </w:p>
    <w:p>
      <w:pPr>
        <w:pStyle w:val="PreformattedText"/>
        <w:bidi w:val="0"/>
        <w:spacing w:before="0" w:after="0"/>
        <w:jc w:val="left"/>
        <w:rPr/>
      </w:pPr>
      <w:r>
        <w:rPr/>
        <w:t>fully to all intents and purposes as the undersigned might or</w:t>
      </w:r>
    </w:p>
    <w:p>
      <w:pPr>
        <w:pStyle w:val="PreformattedText"/>
        <w:bidi w:val="0"/>
        <w:spacing w:before="0" w:after="0"/>
        <w:jc w:val="left"/>
        <w:rPr/>
      </w:pPr>
      <w:r>
        <w:rPr/>
        <w:t>could do if personally present, with full power of substitution</w:t>
      </w:r>
    </w:p>
    <w:p>
      <w:pPr>
        <w:pStyle w:val="PreformattedText"/>
        <w:bidi w:val="0"/>
        <w:spacing w:before="0" w:after="0"/>
        <w:jc w:val="left"/>
        <w:rPr/>
      </w:pPr>
      <w:r>
        <w:rPr/>
        <w:t>and resubstitution or revocation, hereby ratifying and confirming</w:t>
      </w:r>
    </w:p>
    <w:p>
      <w:pPr>
        <w:pStyle w:val="PreformattedText"/>
        <w:bidi w:val="0"/>
        <w:spacing w:before="0" w:after="0"/>
        <w:jc w:val="left"/>
        <w:rPr/>
      </w:pPr>
      <w:r>
        <w:rPr/>
        <w:t>all that such attorney-in-fact, or such attorneys-in-fact</w:t>
      </w:r>
    </w:p>
    <w:p>
      <w:pPr>
        <w:pStyle w:val="PreformattedText"/>
        <w:bidi w:val="0"/>
        <w:spacing w:before="0" w:after="0"/>
        <w:jc w:val="left"/>
        <w:rPr/>
      </w:pPr>
      <w:r>
        <w:rPr/>
        <w:t>substitute or substitutes, shall lawfully do or cause to be done</w:t>
      </w:r>
    </w:p>
    <w:p>
      <w:pPr>
        <w:pStyle w:val="PreformattedText"/>
        <w:bidi w:val="0"/>
        <w:spacing w:before="0" w:after="0"/>
        <w:jc w:val="left"/>
        <w:rPr/>
      </w:pPr>
      <w:r>
        <w:rPr/>
        <w:t>by virtue of this Power of Attorney and the rights and powers</w:t>
      </w:r>
    </w:p>
    <w:p>
      <w:pPr>
        <w:pStyle w:val="PreformattedText"/>
        <w:bidi w:val="0"/>
        <w:spacing w:before="0" w:after="0"/>
        <w:jc w:val="left"/>
        <w:rPr/>
      </w:pPr>
      <w:r>
        <w:rPr/>
        <w:t>herein granted.</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acknowledges that the foregoing attorney-in-fact,</w:t>
      </w:r>
    </w:p>
    <w:p>
      <w:pPr>
        <w:pStyle w:val="PreformattedText"/>
        <w:bidi w:val="0"/>
        <w:spacing w:before="0" w:after="0"/>
        <w:jc w:val="left"/>
        <w:rPr/>
      </w:pPr>
      <w:r>
        <w:rPr/>
        <w:t>in serving in such capacity at the request of the undersigned, is</w:t>
      </w:r>
    </w:p>
    <w:p>
      <w:pPr>
        <w:pStyle w:val="PreformattedText"/>
        <w:bidi w:val="0"/>
        <w:spacing w:before="0" w:after="0"/>
        <w:jc w:val="left"/>
        <w:rPr/>
      </w:pPr>
      <w:r>
        <w:rPr/>
        <w:t>not assuming, nor is the Company assuming, any of the undersigned's</w:t>
      </w:r>
    </w:p>
    <w:p>
      <w:pPr>
        <w:pStyle w:val="PreformattedText"/>
        <w:bidi w:val="0"/>
        <w:spacing w:before="0" w:after="0"/>
        <w:jc w:val="left"/>
        <w:rPr/>
      </w:pPr>
      <w:r>
        <w:rPr/>
        <w:t>responsibilities to comply with Section 13 and Section 16 of the</w:t>
      </w:r>
    </w:p>
    <w:p>
      <w:pPr>
        <w:pStyle w:val="PreformattedText"/>
        <w:bidi w:val="0"/>
        <w:spacing w:before="0" w:after="0"/>
        <w:jc w:val="left"/>
        <w:rPr/>
      </w:pPr>
      <w:r>
        <w:rPr/>
        <w:t>Exchange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w:t>
      </w:r>
    </w:p>
    <w:p>
      <w:pPr>
        <w:pStyle w:val="PreformattedText"/>
        <w:bidi w:val="0"/>
        <w:spacing w:before="0" w:after="0"/>
        <w:jc w:val="left"/>
        <w:rPr/>
      </w:pPr>
      <w:r>
        <w:rPr/>
        <w:t>until the undersigned is no longer required to file Schedule 13D and</w:t>
      </w:r>
    </w:p>
    <w:p>
      <w:pPr>
        <w:pStyle w:val="PreformattedText"/>
        <w:bidi w:val="0"/>
        <w:spacing w:before="0" w:after="0"/>
        <w:jc w:val="left"/>
        <w:rPr/>
      </w:pPr>
      <w:r>
        <w:rPr/>
        <w:t>13G and Forms 3, 4, and 5 with respect to the undersigned's holdings</w:t>
      </w:r>
    </w:p>
    <w:p>
      <w:pPr>
        <w:pStyle w:val="PreformattedText"/>
        <w:bidi w:val="0"/>
        <w:spacing w:before="0" w:after="0"/>
        <w:jc w:val="left"/>
        <w:rPr/>
      </w:pPr>
      <w:r>
        <w:rPr/>
        <w:t>of and transactions in securities issued by the Company, unless</w:t>
      </w:r>
    </w:p>
    <w:p>
      <w:pPr>
        <w:pStyle w:val="PreformattedText"/>
        <w:bidi w:val="0"/>
        <w:spacing w:before="0" w:after="0"/>
        <w:jc w:val="left"/>
        <w:rPr/>
      </w:pPr>
      <w:r>
        <w:rPr/>
        <w:t>earlier revoked by the undersigned in a signed writing delivered to</w:t>
      </w:r>
    </w:p>
    <w:p>
      <w:pPr>
        <w:pStyle w:val="PreformattedText"/>
        <w:bidi w:val="0"/>
        <w:spacing w:before="0" w:after="0"/>
        <w:jc w:val="left"/>
        <w:rPr/>
      </w:pPr>
      <w:r>
        <w:rPr/>
        <w:t>the foregoing attorneys-in-fact.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w:t>
      </w:r>
    </w:p>
    <w:p>
      <w:pPr>
        <w:pStyle w:val="PreformattedText"/>
        <w:bidi w:val="0"/>
        <w:spacing w:before="0" w:after="0"/>
        <w:jc w:val="left"/>
        <w:rPr/>
      </w:pPr>
      <w:r>
        <w:rPr/>
        <w:t>of Attorney to be executed as of this 19 day of March,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Tae Lee</w:t>
      </w:r>
    </w:p>
    <w:p>
      <w:pPr>
        <w:pStyle w:val="PreformattedText"/>
        <w:bidi w:val="0"/>
        <w:spacing w:before="0" w:after="0"/>
        <w:jc w:val="left"/>
        <w:rPr/>
      </w:pPr>
      <w:r>
        <w:rPr/>
        <w:t>Tae Lee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SV\340998.1||</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5533" TargetMode="External"/><Relationship Id="rId5" Type="http://schemas.openxmlformats.org/officeDocument/2006/relationships/hyperlink" Target="http://www.sec.gov/cgi-bin/browse-edgar?action=getcompany&amp;CIK=000182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1160</Words>
  <Characters>6071</Characters>
  <CharactersWithSpaces>7141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