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w:t>
      </w:r>
    </w:p>
    <w:p>
      <w:pPr>
        <w:spacing w:after="0" w:line="200" w:lineRule="exact"/>
        <w:rPr>
          <w:sz w:val="24"/>
          <w:szCs w:val="24"/>
          <w:color w:val="auto"/>
        </w:rPr>
      </w:pPr>
    </w:p>
    <w:p>
      <w:pPr>
        <w:spacing w:after="0" w:line="23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5020" w:firstLine="8"/>
        <w:spacing w:after="0" w:line="216" w:lineRule="exact"/>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PLAYTIKA HOLDING CORP.</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700" w:hanging="39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7"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1960" w:hanging="656"/>
        <w:spacing w:after="0" w:line="250" w:lineRule="auto"/>
        <w:tabs>
          <w:tab w:leader="none" w:pos="170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1700" w:hanging="39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 w:lineRule="exact"/>
        <w:rPr>
          <w:rFonts w:ascii="MS PGothic" w:cs="MS PGothic" w:eastAsia="MS PGothic" w:hAnsi="MS PGothic"/>
          <w:sz w:val="18"/>
          <w:szCs w:val="18"/>
          <w:color w:val="auto"/>
        </w:rPr>
      </w:pPr>
    </w:p>
    <w:p>
      <w:pPr>
        <w:ind w:left="660" w:right="20" w:hanging="652"/>
        <w:spacing w:after="0" w:line="249" w:lineRule="auto"/>
        <w:tabs>
          <w:tab w:leader="none" w:pos="401"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680" w:hanging="376"/>
        <w:spacing w:after="0"/>
        <w:tabs>
          <w:tab w:leader="none" w:pos="1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2488565</wp:posOffset>
            </wp:positionH>
            <wp:positionV relativeFrom="page">
              <wp:posOffset>1066165</wp:posOffset>
            </wp:positionV>
            <wp:extent cx="2571750" cy="1002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57175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cordially invited to attend our 2026 Annual Meeting of Stockholders (the “Annual Meeting”) to be held at 9:00 a.m. Pacific Time on June 11, 2026. This year’s Annual Meeting will be held as a virtual meeting of stockholders, conducted via live audio webcast. You can attend the Annual Meeting via the Internet at www.proxydocs.com/PLTK by using the control number that appears on your proxy card (printed in the shaded box), and the instructions that accompanied your proxy materials. You will have the ability to submit questions in advance of and real-time during the Annual Meeting via the meeting website.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matters expected to be acted upon at the Annual Meeting are described in detail in the accompanying Notice of Annual Meeting of Stockholders and Proxy Statement.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meeting, please cast your vote as soon as possible by telephone, via Internet or by completing and returning the enclosed proxy card in the postage-prepaid envelope to ensure that your shares will be represented. Your vote by written proxy will ensure your representation at the Annual Meeting regardless of whether you attend the virtual meeting or not. Returning the proxy does not deprive you of your right to attend the meeting and to vote your shares at the virtual meeting.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attendance at our virtual Annual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Antokol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Antokol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Chairperson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the 2026</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Annual Meeting of Stockholders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Playtika Holding Corp., a Delaware corporation, will be held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MEETING DATE:</w:t>
            </w:r>
          </w:p>
        </w:tc>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Thursday, June 11, 2026</w:t>
            </w: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MEETING TIME:</w:t>
            </w:r>
          </w:p>
        </w:tc>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9:00 a.m. Pacific Time</w:t>
            </w: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VIRTUAL MEETING ACCESS:</w:t>
            </w:r>
          </w:p>
        </w:tc>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www.proxydocs.com/PLTK</w:t>
            </w:r>
          </w:p>
        </w:tc>
      </w:tr>
    </w:tbl>
    <w:p>
      <w:pPr>
        <w:spacing w:after="0" w:line="30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RECORD DATE: </w:t>
      </w:r>
      <w:r>
        <w:rPr>
          <w:rFonts w:ascii="Times New Roman" w:cs="Times New Roman" w:eastAsia="Times New Roman" w:hAnsi="Times New Roman"/>
          <w:sz w:val="18"/>
          <w:szCs w:val="18"/>
          <w:color w:val="auto"/>
        </w:rPr>
        <w:t>You may vote if you were a holder of record of shares of our common stock, par value $0.01 per share, at the close of business on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16, 2026.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OF BUSINESS:</w:t>
      </w:r>
    </w:p>
    <w:p>
      <w:pPr>
        <w:spacing w:after="0" w:line="54" w:lineRule="exact"/>
        <w:rPr>
          <w:sz w:val="20"/>
          <w:szCs w:val="20"/>
          <w:color w:val="auto"/>
        </w:rPr>
      </w:pPr>
    </w:p>
    <w:p>
      <w:pPr>
        <w:ind w:left="600" w:right="900" w:hanging="574"/>
        <w:spacing w:after="0" w:line="245"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six director nominees named in the proxy statement accompanying this notice to serve until the 2027 annual meeting of stockholders and until their respective successors are duly elected and qualify.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266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600" w:right="320" w:hanging="574"/>
        <w:spacing w:after="0" w:line="242" w:lineRule="auto"/>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Kost Forer Gabbay &amp; Kasierer, a member of Ernst &amp; Young Global, as our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600" w:hanging="574"/>
        <w:spacing w:after="0"/>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proposal to approve the compensation of our named executive officers as described in the accompanying proxy statement.</w:t>
      </w:r>
    </w:p>
    <w:p>
      <w:pPr>
        <w:spacing w:after="0" w:line="23" w:lineRule="exact"/>
        <w:rPr>
          <w:sz w:val="20"/>
          <w:szCs w:val="20"/>
          <w:color w:val="auto"/>
        </w:rPr>
      </w:pPr>
    </w:p>
    <w:p>
      <w:pPr>
        <w:ind w:left="600" w:right="520" w:hanging="574"/>
        <w:spacing w:after="0" w:line="245"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postponement or adjournment of the Annual Meeting.</w:t>
      </w: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proxy statement following this notice describes these matters in detail. We have not received notice of any other proposals to be presented at the Annual Meeting.</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VOTING: </w:t>
      </w: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or not you plan to participate in our Annual Meeting, we urge you to submit your proxy as soon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possible to ensure your shares are represented and voted at our Annual Meeting. You may authorize a proxy to vote your shares by telephone, via the Internet, or – if you have received and/or requested paper copies of our proxy materials by mail – by signing, dating and returning the proxy card in the envelope provided. If you participate in our virtual Annual Meeting, you may, if you wish, vote your shares (or withdraw your proxy) at www.proxydocs.com/PLTK.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encouraged to read this Proxy Statement in its entirety before voting or authorizing a proxy to vote on your behalf.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Cohen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Cohen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Proxy Summary</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Proposals</w:t>
            </w:r>
          </w:p>
        </w:tc>
        <w:tc>
          <w:tcPr>
            <w:tcW w:w="500" w:type="dxa"/>
            <w:vAlign w:val="bottom"/>
            <w:tcBorders>
              <w:top w:val="single" w:sz="8" w:color="0000FF"/>
            </w:tcBorders>
          </w:tcPr>
          <w:p>
            <w:pPr>
              <w:spacing w:after="0"/>
              <w:rPr>
                <w:sz w:val="18"/>
                <w:szCs w:val="18"/>
                <w:color w:val="auto"/>
              </w:rPr>
            </w:pPr>
          </w:p>
        </w:tc>
        <w:tc>
          <w:tcPr>
            <w:tcW w:w="7680" w:type="dxa"/>
            <w:vAlign w:val="bottom"/>
            <w:gridSpan w:val="25"/>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24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Proposal 1 - Election of Directors</w:t>
            </w:r>
          </w:p>
        </w:tc>
        <w:tc>
          <w:tcPr>
            <w:tcW w:w="6000" w:type="dxa"/>
            <w:vAlign w:val="bottom"/>
            <w:gridSpan w:val="13"/>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66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Proposal 2 - Ratification of Appointment of Independent Registered Public Accounting Firm</w:t>
            </w:r>
          </w:p>
        </w:tc>
        <w:tc>
          <w:tcPr>
            <w:tcW w:w="1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8"/>
                <w:szCs w:val="18"/>
                <w:color w:val="auto"/>
              </w:rPr>
            </w:pPr>
          </w:p>
        </w:tc>
      </w:tr>
      <w:tr>
        <w:trPr>
          <w:trHeight w:val="209"/>
        </w:trPr>
        <w:tc>
          <w:tcPr>
            <w:tcW w:w="500" w:type="dxa"/>
            <w:vAlign w:val="bottom"/>
          </w:tcPr>
          <w:p>
            <w:pPr>
              <w:spacing w:after="0"/>
              <w:rPr>
                <w:sz w:val="18"/>
                <w:szCs w:val="18"/>
                <w:color w:val="auto"/>
              </w:rPr>
            </w:pPr>
          </w:p>
        </w:tc>
        <w:tc>
          <w:tcPr>
            <w:tcW w:w="8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Proposal 3 – Advisory Vote to Approve the Compensation of Our Named Executive Officers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6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w w:val="99"/>
              </w:rPr>
              <w:t>Board of Directors and Corporate Governance</w:t>
            </w:r>
          </w:p>
        </w:tc>
        <w:tc>
          <w:tcPr>
            <w:tcW w:w="5340" w:type="dxa"/>
            <w:vAlign w:val="bottom"/>
            <w:gridSpan w:val="9"/>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10</w:t>
            </w:r>
          </w:p>
        </w:tc>
      </w:tr>
      <w:tr>
        <w:trPr>
          <w:trHeight w:val="209"/>
        </w:trPr>
        <w:tc>
          <w:tcPr>
            <w:tcW w:w="500" w:type="dxa"/>
            <w:vAlign w:val="bottom"/>
          </w:tcPr>
          <w:p>
            <w:pPr>
              <w:spacing w:after="0"/>
              <w:rPr>
                <w:sz w:val="18"/>
                <w:szCs w:val="18"/>
                <w:color w:val="auto"/>
              </w:rPr>
            </w:pPr>
          </w:p>
        </w:tc>
        <w:tc>
          <w:tcPr>
            <w:tcW w:w="8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Director Nominees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10</w:t>
            </w:r>
          </w:p>
        </w:tc>
      </w:tr>
      <w:tr>
        <w:trPr>
          <w:trHeight w:val="20"/>
        </w:trPr>
        <w:tc>
          <w:tcPr>
            <w:tcW w:w="50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10"/>
        </w:trPr>
        <w:tc>
          <w:tcPr>
            <w:tcW w:w="500" w:type="dxa"/>
            <w:vAlign w:val="bottom"/>
          </w:tcPr>
          <w:p>
            <w:pPr>
              <w:spacing w:after="0"/>
              <w:rPr>
                <w:sz w:val="18"/>
                <w:szCs w:val="18"/>
                <w:color w:val="auto"/>
              </w:rPr>
            </w:pPr>
          </w:p>
        </w:tc>
        <w:tc>
          <w:tcPr>
            <w:tcW w:w="16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Board Committees</w:t>
            </w:r>
          </w:p>
        </w:tc>
        <w:tc>
          <w:tcPr>
            <w:tcW w:w="6820" w:type="dxa"/>
            <w:vAlign w:val="bottom"/>
            <w:gridSpan w:val="21"/>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14</w:t>
            </w:r>
          </w:p>
        </w:tc>
      </w:tr>
      <w:tr>
        <w:trPr>
          <w:trHeight w:val="20"/>
        </w:trPr>
        <w:tc>
          <w:tcPr>
            <w:tcW w:w="500" w:type="dxa"/>
            <w:vAlign w:val="bottom"/>
          </w:tcPr>
          <w:p>
            <w:pPr>
              <w:spacing w:after="0" w:line="20" w:lineRule="exact"/>
              <w:rPr>
                <w:sz w:val="1"/>
                <w:szCs w:val="1"/>
                <w:color w:val="auto"/>
              </w:rPr>
            </w:pPr>
          </w:p>
        </w:tc>
        <w:tc>
          <w:tcPr>
            <w:tcW w:w="13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2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Communications with the Board</w:t>
            </w:r>
          </w:p>
        </w:tc>
        <w:tc>
          <w:tcPr>
            <w:tcW w:w="6100" w:type="dxa"/>
            <w:vAlign w:val="bottom"/>
            <w:gridSpan w:val="15"/>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16</w:t>
            </w:r>
          </w:p>
        </w:tc>
      </w:tr>
      <w:tr>
        <w:trPr>
          <w:trHeight w:val="209"/>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Director Compensation</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17</w:t>
            </w:r>
          </w:p>
        </w:tc>
      </w:tr>
      <w:tr>
        <w:trPr>
          <w:trHeight w:val="20"/>
        </w:trPr>
        <w:tc>
          <w:tcPr>
            <w:tcW w:w="180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10"/>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Information about our Executive Officers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9"/>
        </w:trPr>
        <w:tc>
          <w:tcPr>
            <w:tcW w:w="1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Executive Compensation</w:t>
            </w:r>
          </w:p>
        </w:tc>
        <w:tc>
          <w:tcPr>
            <w:tcW w:w="1280" w:type="dxa"/>
            <w:vAlign w:val="bottom"/>
            <w:tcBorders>
              <w:top w:val="single" w:sz="8" w:color="0000FF"/>
            </w:tcBorders>
            <w:gridSpan w:val="12"/>
          </w:tcPr>
          <w:p>
            <w:pPr>
              <w:spacing w:after="0"/>
              <w:rPr>
                <w:sz w:val="18"/>
                <w:szCs w:val="18"/>
                <w:color w:val="auto"/>
              </w:rPr>
            </w:pPr>
          </w:p>
        </w:tc>
        <w:tc>
          <w:tcPr>
            <w:tcW w:w="5740" w:type="dxa"/>
            <w:vAlign w:val="bottom"/>
            <w:gridSpan w:val="11"/>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20</w:t>
            </w:r>
          </w:p>
        </w:tc>
      </w:tr>
      <w:tr>
        <w:trPr>
          <w:trHeight w:val="209"/>
        </w:trPr>
        <w:tc>
          <w:tcPr>
            <w:tcW w:w="500" w:type="dxa"/>
            <w:vAlign w:val="bottom"/>
          </w:tcPr>
          <w:p>
            <w:pPr>
              <w:spacing w:after="0"/>
              <w:rPr>
                <w:sz w:val="18"/>
                <w:szCs w:val="18"/>
                <w:color w:val="auto"/>
              </w:rPr>
            </w:pPr>
          </w:p>
        </w:tc>
        <w:tc>
          <w:tcPr>
            <w:tcW w:w="8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Compensation Discussion and Analysis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9"/>
        </w:trPr>
        <w:tc>
          <w:tcPr>
            <w:tcW w:w="500" w:type="dxa"/>
            <w:vAlign w:val="bottom"/>
          </w:tcPr>
          <w:p>
            <w:pPr>
              <w:spacing w:after="0"/>
              <w:rPr>
                <w:sz w:val="18"/>
                <w:szCs w:val="18"/>
                <w:color w:val="auto"/>
              </w:rPr>
            </w:pPr>
          </w:p>
        </w:tc>
        <w:tc>
          <w:tcPr>
            <w:tcW w:w="28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2025 Compensation Tables</w:t>
            </w:r>
          </w:p>
        </w:tc>
        <w:tc>
          <w:tcPr>
            <w:tcW w:w="5600" w:type="dxa"/>
            <w:vAlign w:val="bottom"/>
            <w:gridSpan w:val="10"/>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0"/>
        </w:trPr>
        <w:tc>
          <w:tcPr>
            <w:tcW w:w="50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2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Committee Report</w:t>
            </w:r>
          </w:p>
        </w:tc>
        <w:tc>
          <w:tcPr>
            <w:tcW w:w="6020" w:type="dxa"/>
            <w:vAlign w:val="bottom"/>
            <w:gridSpan w:val="14"/>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51</w:t>
            </w:r>
          </w:p>
        </w:tc>
      </w:tr>
      <w:tr>
        <w:trPr>
          <w:trHeight w:val="210"/>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Related Party Transactions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52</w:t>
            </w: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09"/>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53</w:t>
            </w:r>
          </w:p>
        </w:tc>
      </w:tr>
      <w:tr>
        <w:trPr>
          <w:trHeight w:val="209"/>
        </w:trPr>
        <w:tc>
          <w:tcPr>
            <w:tcW w:w="496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b w:val="1"/>
                <w:bCs w:val="1"/>
                <w:color w:val="0000FF"/>
                <w:w w:val="99"/>
              </w:rPr>
              <w:t>Equity Compensation Plan Information as of December 31, 2025</w:t>
            </w:r>
          </w:p>
        </w:tc>
        <w:tc>
          <w:tcPr>
            <w:tcW w:w="240" w:type="dxa"/>
            <w:vAlign w:val="bottom"/>
            <w:tcBorders>
              <w:top w:val="single" w:sz="8" w:color="0000FF"/>
            </w:tcBorders>
          </w:tcPr>
          <w:p>
            <w:pPr>
              <w:spacing w:after="0"/>
              <w:rPr>
                <w:sz w:val="18"/>
                <w:szCs w:val="18"/>
                <w:color w:val="auto"/>
              </w:rPr>
            </w:pPr>
          </w:p>
        </w:tc>
        <w:tc>
          <w:tcPr>
            <w:tcW w:w="3740" w:type="dxa"/>
            <w:vAlign w:val="bottom"/>
            <w:gridSpan w:val="4"/>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56</w:t>
            </w:r>
          </w:p>
        </w:tc>
      </w:tr>
      <w:tr>
        <w:trPr>
          <w:trHeight w:val="210"/>
        </w:trPr>
        <w:tc>
          <w:tcPr>
            <w:tcW w:w="1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Audit Related Matters</w:t>
            </w:r>
          </w:p>
        </w:tc>
        <w:tc>
          <w:tcPr>
            <w:tcW w:w="7140" w:type="dxa"/>
            <w:vAlign w:val="bottom"/>
            <w:gridSpan w:val="24"/>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57</w:t>
            </w:r>
          </w:p>
        </w:tc>
      </w:tr>
      <w:tr>
        <w:trPr>
          <w:trHeight w:val="209"/>
        </w:trPr>
        <w:tc>
          <w:tcPr>
            <w:tcW w:w="500" w:type="dxa"/>
            <w:vAlign w:val="bottom"/>
          </w:tcPr>
          <w:p>
            <w:pPr>
              <w:spacing w:after="0"/>
              <w:rPr>
                <w:sz w:val="18"/>
                <w:szCs w:val="18"/>
                <w:color w:val="auto"/>
              </w:rPr>
            </w:pPr>
          </w:p>
        </w:tc>
        <w:tc>
          <w:tcPr>
            <w:tcW w:w="84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Annual Review of Independent Registered Public Accounting Firm</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57</w:t>
            </w:r>
          </w:p>
        </w:tc>
      </w:tr>
      <w:tr>
        <w:trPr>
          <w:trHeight w:val="210"/>
        </w:trPr>
        <w:tc>
          <w:tcPr>
            <w:tcW w:w="500" w:type="dxa"/>
            <w:vAlign w:val="bottom"/>
          </w:tcPr>
          <w:p>
            <w:pPr>
              <w:spacing w:after="0"/>
              <w:rPr>
                <w:sz w:val="18"/>
                <w:szCs w:val="18"/>
                <w:color w:val="auto"/>
              </w:rPr>
            </w:pPr>
          </w:p>
        </w:tc>
        <w:tc>
          <w:tcPr>
            <w:tcW w:w="48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Fees Paid to Independent Registered Public Accounting Firm</w:t>
            </w:r>
          </w:p>
        </w:tc>
        <w:tc>
          <w:tcPr>
            <w:tcW w:w="3600" w:type="dxa"/>
            <w:vAlign w:val="bottom"/>
            <w:gridSpan w:val="3"/>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57</w:t>
            </w:r>
          </w:p>
        </w:tc>
      </w:tr>
      <w:tr>
        <w:trPr>
          <w:trHeight w:val="209"/>
        </w:trPr>
        <w:tc>
          <w:tcPr>
            <w:tcW w:w="500" w:type="dxa"/>
            <w:vAlign w:val="bottom"/>
          </w:tcPr>
          <w:p>
            <w:pPr>
              <w:spacing w:after="0"/>
              <w:rPr>
                <w:sz w:val="18"/>
                <w:szCs w:val="18"/>
                <w:color w:val="auto"/>
              </w:rPr>
            </w:pPr>
          </w:p>
        </w:tc>
        <w:tc>
          <w:tcPr>
            <w:tcW w:w="44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Pre-approval Policies and Procedures</w:t>
            </w:r>
          </w:p>
        </w:tc>
        <w:tc>
          <w:tcPr>
            <w:tcW w:w="4040" w:type="dxa"/>
            <w:vAlign w:val="bottom"/>
            <w:gridSpan w:val="7"/>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57</w:t>
            </w:r>
          </w:p>
        </w:tc>
      </w:tr>
      <w:tr>
        <w:trPr>
          <w:trHeight w:val="210"/>
        </w:trPr>
        <w:tc>
          <w:tcPr>
            <w:tcW w:w="50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880" w:type="dxa"/>
            <w:vAlign w:val="bottom"/>
            <w:tcBorders>
              <w:top w:val="single" w:sz="8" w:color="0000FF"/>
            </w:tcBorders>
            <w:gridSpan w:val="6"/>
          </w:tcPr>
          <w:p>
            <w:pPr>
              <w:spacing w:after="0"/>
              <w:rPr>
                <w:sz w:val="18"/>
                <w:szCs w:val="18"/>
                <w:color w:val="auto"/>
              </w:rPr>
            </w:pPr>
          </w:p>
        </w:tc>
        <w:tc>
          <w:tcPr>
            <w:tcW w:w="5760" w:type="dxa"/>
            <w:vAlign w:val="bottom"/>
            <w:gridSpan w:val="12"/>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58</w:t>
            </w:r>
          </w:p>
        </w:tc>
      </w:tr>
      <w:tr>
        <w:trPr>
          <w:trHeight w:val="209"/>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Frequently Asked Questions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210"/>
        </w:trPr>
        <w:tc>
          <w:tcPr>
            <w:tcW w:w="40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b w:val="1"/>
                <w:bCs w:val="1"/>
                <w:color w:val="0000FF"/>
                <w:w w:val="99"/>
              </w:rPr>
              <w:t>Stockholder Proposals for our 2027 Annual Meeting</w:t>
            </w:r>
          </w:p>
        </w:tc>
        <w:tc>
          <w:tcPr>
            <w:tcW w:w="4920" w:type="dxa"/>
            <w:vAlign w:val="bottom"/>
            <w:gridSpan w:val="8"/>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65</w:t>
            </w:r>
          </w:p>
        </w:tc>
      </w:tr>
      <w:tr>
        <w:trPr>
          <w:trHeight w:val="210"/>
        </w:trPr>
        <w:tc>
          <w:tcPr>
            <w:tcW w:w="2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Forward-Looking Statements</w:t>
            </w:r>
          </w:p>
        </w:tc>
        <w:tc>
          <w:tcPr>
            <w:tcW w:w="6660" w:type="dxa"/>
            <w:vAlign w:val="bottom"/>
            <w:gridSpan w:val="19"/>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65</w:t>
            </w:r>
          </w:p>
        </w:tc>
      </w:tr>
      <w:tr>
        <w:trPr>
          <w:trHeight w:val="210"/>
        </w:trPr>
        <w:tc>
          <w:tcPr>
            <w:tcW w:w="894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Householding of Proxy Materials</w:t>
            </w:r>
          </w:p>
        </w:tc>
        <w:tc>
          <w:tcPr>
            <w:tcW w:w="19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color w:val="0000FF"/>
                <w:w w:val="99"/>
              </w:rPr>
              <w:t>65</w:t>
            </w:r>
          </w:p>
        </w:tc>
      </w:tr>
      <w:tr>
        <w:trPr>
          <w:trHeight w:val="210"/>
        </w:trPr>
        <w:tc>
          <w:tcPr>
            <w:tcW w:w="21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rPr>
              <w:t>Incorporation by Reference</w:t>
            </w:r>
          </w:p>
        </w:tc>
        <w:tc>
          <w:tcPr>
            <w:tcW w:w="360" w:type="dxa"/>
            <w:vAlign w:val="bottom"/>
            <w:tcBorders>
              <w:top w:val="single" w:sz="8" w:color="0000FF"/>
            </w:tcBorders>
            <w:gridSpan w:val="4"/>
          </w:tcPr>
          <w:p>
            <w:pPr>
              <w:spacing w:after="0"/>
              <w:rPr>
                <w:sz w:val="18"/>
                <w:szCs w:val="18"/>
                <w:color w:val="auto"/>
              </w:rPr>
            </w:pPr>
          </w:p>
        </w:tc>
        <w:tc>
          <w:tcPr>
            <w:tcW w:w="6400" w:type="dxa"/>
            <w:vAlign w:val="bottom"/>
            <w:gridSpan w:val="16"/>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67</w:t>
            </w:r>
          </w:p>
        </w:tc>
      </w:tr>
      <w:tr>
        <w:trPr>
          <w:trHeight w:val="209"/>
        </w:trPr>
        <w:tc>
          <w:tcPr>
            <w:tcW w:w="49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Appendix A: Reconciliation of Net Income to Adjusted EBITDA</w:t>
            </w:r>
          </w:p>
        </w:tc>
        <w:tc>
          <w:tcPr>
            <w:tcW w:w="4000" w:type="dxa"/>
            <w:vAlign w:val="bottom"/>
            <w:gridSpan w:val="6"/>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40" w:top="597"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4"/>
        </w:trPr>
        <w:tc>
          <w:tcPr>
            <w:tcW w:w="3160" w:type="dxa"/>
            <w:vAlign w:val="bottom"/>
          </w:tcPr>
          <w:p>
            <w:pPr>
              <w:spacing w:after="0"/>
              <w:rPr>
                <w:sz w:val="24"/>
                <w:szCs w:val="24"/>
                <w:color w:val="auto"/>
              </w:rPr>
            </w:pPr>
          </w:p>
        </w:tc>
        <w:tc>
          <w:tcPr>
            <w:tcW w:w="8080" w:type="dxa"/>
            <w:vAlign w:val="bottom"/>
          </w:tcPr>
          <w:p>
            <w:pPr>
              <w:ind w:left="1580"/>
              <w:spacing w:after="0"/>
              <w:rPr>
                <w:sz w:val="20"/>
                <w:szCs w:val="20"/>
                <w:color w:val="auto"/>
              </w:rPr>
            </w:pPr>
            <w:r>
              <w:rPr>
                <w:rFonts w:ascii="Times New Roman" w:cs="Times New Roman" w:eastAsia="Times New Roman" w:hAnsi="Times New Roman"/>
                <w:sz w:val="25"/>
                <w:szCs w:val="25"/>
                <w:b w:val="1"/>
                <w:bCs w:val="1"/>
                <w:color w:val="auto"/>
              </w:rPr>
              <w:t>Proxy Summary</w:t>
            </w:r>
          </w:p>
        </w:tc>
      </w:tr>
      <w:tr>
        <w:trPr>
          <w:trHeight w:val="248"/>
        </w:trPr>
        <w:tc>
          <w:tcPr>
            <w:tcW w:w="3160" w:type="dxa"/>
            <w:vAlign w:val="bottom"/>
          </w:tcPr>
          <w:p>
            <w:pPr>
              <w:spacing w:after="0"/>
              <w:rPr>
                <w:sz w:val="21"/>
                <w:szCs w:val="21"/>
                <w:color w:val="auto"/>
              </w:rPr>
            </w:pPr>
          </w:p>
        </w:tc>
        <w:tc>
          <w:tcPr>
            <w:tcW w:w="8080" w:type="dxa"/>
            <w:vAlign w:val="bottom"/>
          </w:tcPr>
          <w:p>
            <w:pPr>
              <w:spacing w:after="0"/>
              <w:rPr>
                <w:sz w:val="21"/>
                <w:szCs w:val="2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MEETING DATE:</w:t>
            </w:r>
          </w:p>
        </w:tc>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June 11, 2026</w:t>
            </w: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MEETING TIME:</w:t>
            </w:r>
          </w:p>
        </w:tc>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9:00 a.m. Pacific Time</w:t>
            </w: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VIRTUAL MEETING ACCESS:</w:t>
            </w:r>
          </w:p>
        </w:tc>
        <w:tc>
          <w:tcPr>
            <w:tcW w:w="8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www.proxydocs.com/PLTK</w:t>
            </w:r>
          </w:p>
        </w:tc>
      </w:t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RECORD DATE:</w:t>
            </w:r>
          </w:p>
        </w:tc>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April 16, 2026</w:t>
            </w:r>
          </w:p>
        </w:tc>
      </w:tr>
    </w:tbl>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Playtika Holding Corp., a Delaware corporation (“we”, “us,” “Playtika,” or the “Company”), is soliciting proxies for the 2026 Annual Meeting of Stockholders (the “Annual Meeting”) and any postponement or adjournment of the Annual Meeting. This Proxy Summary provides an overview of the proposals to be considered and voted on at the Annual Meeting and information contained in the Proxy Statement but does not contain all of the information that should be considered before voting. We encourage you to read the Proxy Statement in its entirety before voting.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Vote</w:t>
      </w:r>
    </w:p>
    <w:p>
      <w:pPr>
        <w:spacing w:after="0" w:line="21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On or about April 29, 2026, we will mail or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 a copy of our Notice of 2026 Annual Meeting of Stockholders, Proxy Statement, proxy card, and 2025 Annual Report (collectively “Proxy Materials”) to our stockholders according to their previously indicated preference. Some of our stockholders will be mailed a Notice of Availability of Proxy Materials, which contains instructions on how to request and receive a paper or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mailed copy of our Proxy Materials, and how to view these materials online. We encourage you to vote by telephone, over the Internet or by mail by completing your proxy card, even if you plan to participate in the virtual Annual Meeting. All methods of correspondence will provide stockholders with instructions on how to vote or authorize a proxy to vote using any of the following methods: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Internet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Authorize a proxy to vote your shares via the website www.proxypush.com/PLTK, which is available 24 hours per day until the start of the Annual Meeting. In order to authorize your proxy, you will need to have available the control number that appears on the voting instructions included in the Proxy Materials that you received. If you authorize your proxy via the Internet, you do not need to return your proxy or voting instruction card.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Telephone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Authorize a proxy to vote your shares by calling toll-free at 844-311-3915, 24 hours per day until the start of the Annual Meeting. When you call, please have the voting instructions in hand that accompanied the Proxy Materials you received, along with the control number that appears therein. Follow the series of prompts to instruct your proxy how to vote your shares. If you authorize your proxy by telephone, you do not need to return your proxy or voting instruction card.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received and/or requested via the Notice a printed set of the Proxy Materials (including the Proxy Statement, proxy card, and Annual Report), authorize a proxy to vote your shares by completing, signing, and returning the proxy in the prepaid envelope provided.</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Virtual Meeting Access: </w:t>
      </w:r>
      <w:r>
        <w:rPr>
          <w:rFonts w:ascii="Times New Roman" w:cs="Times New Roman" w:eastAsia="Times New Roman" w:hAnsi="Times New Roman"/>
          <w:sz w:val="18"/>
          <w:szCs w:val="18"/>
          <w:color w:val="auto"/>
        </w:rPr>
        <w:t>Vote your shares by logging onto and voting at the virtual Annual Meeting at www.proxydocs.com/PLTK by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provided to you via email after completing the registration procedures described on the website. Please note that you must register on the website in advance of the Annual Meeting to be able to attend and vote your shares. You may also be represented by another person at the Annual Meeting by executing a proper proxy designating that person as your representative. If you are a beneficial owner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shares, you will need your unique control number, which appears on the instructions that accompanied the Proxy Materials.</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Beneficial Stockholders: </w:t>
      </w:r>
      <w:r>
        <w:rPr>
          <w:rFonts w:ascii="Times New Roman" w:cs="Times New Roman" w:eastAsia="Times New Roman" w:hAnsi="Times New Roman"/>
          <w:sz w:val="18"/>
          <w:szCs w:val="18"/>
          <w:color w:val="auto"/>
        </w:rPr>
        <w:t>If your shares of common stock are held by a bank, broker or other holder of record, please follow the instructions you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your bank, broker or other holder of record on how to vote your shares of common stock at our Annual Meeting. Since a beneficial owner is not the stockholder of record, you may not vote these shares online at our Annual Meeting unless you obtain a “legal proxy” from the bank, broker or other holder of record that holds your shares, giving you the right to vote the shares at the Annual Meeting. You must also register at www.proxydocs.com/PLTK in advance of the Annual Meeting to be able to vote at the Annual Meeting.</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to be Held on June 11, 2026: </w:t>
      </w:r>
      <w:r>
        <w:rPr>
          <w:rFonts w:ascii="Times New Roman" w:cs="Times New Roman" w:eastAsia="Times New Roman" w:hAnsi="Times New Roman"/>
          <w:sz w:val="18"/>
          <w:szCs w:val="18"/>
          <w:color w:val="auto"/>
        </w:rPr>
        <w:t>This Proxy Statement and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Annual Report are available in the investors section of our corporate website at www.playtika.com. You can also view these materials at www.proxydocs.com/PLTK. If you would like to request paper copies of the Proxy Statement or our 2025 Annual Report, please follow the instructions provided on the Notice of Availability of Proxy Materials. You are encouraged to access and review all of the information contained in the Proxy Materials before voting.</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Virtual Stockholder Meeting: </w:t>
      </w:r>
      <w:r>
        <w:rPr>
          <w:rFonts w:ascii="Times New Roman" w:cs="Times New Roman" w:eastAsia="Times New Roman" w:hAnsi="Times New Roman"/>
          <w:sz w:val="18"/>
          <w:szCs w:val="18"/>
          <w:color w:val="auto"/>
        </w:rPr>
        <w:t>The Board has decided to hold a virtual Annual Meeting this year. The Board believes that the virtual format for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will provide the opportunity for participation by a broader group of our stockholders, while reducing the costs associated with planning, holding, and arranging logistics for in-person meeting proceedings. The virtual meeting format enables stockholders to participate fully, and equally, from any location around the world, at little to no cost. It also reduces the environmental impact of our Annual Meeting. We designed the format of our Annual Meeting to ensure that our stockholders who attend our Annual Meeting will be afforded the same rights and opportunities to participate as they would at an in-person meeting and to enhance stockholder access, participation and communication through online tools.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The Annual Meeting will be held virtually through a live audio webcast on June 11, 2026, at 9:00 a.m. Pacific Time. There will be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meeting location. The meeting will only be conducted via an audio webcast.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Access to the Audio Webcast of the Annual Meeting: </w:t>
      </w:r>
      <w:r>
        <w:rPr>
          <w:rFonts w:ascii="Times New Roman" w:cs="Times New Roman" w:eastAsia="Times New Roman" w:hAnsi="Times New Roman"/>
          <w:sz w:val="18"/>
          <w:szCs w:val="18"/>
          <w:color w:val="auto"/>
        </w:rPr>
        <w:t>The live audio webcast of the Annual Meeting will begin promptly at 9:00 a.m. Pacific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Online access to the audio webcast will open approximately fifteen minutes prior to the start of the Annual Meeting to allow time for you to log in and test the computer audio system. We encourage our stockholders to access the meeting prior to the start time.</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Log in Instructions: </w:t>
      </w:r>
      <w:r>
        <w:rPr>
          <w:rFonts w:ascii="Times New Roman" w:cs="Times New Roman" w:eastAsia="Times New Roman" w:hAnsi="Times New Roman"/>
          <w:sz w:val="18"/>
          <w:szCs w:val="18"/>
          <w:color w:val="auto"/>
        </w:rPr>
        <w:t>To attend the virtual Annual Meeting, log in at www.proxydocs.com/PLTK and register in advance. Following registration,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instructions regarding virtual attendance at the Annual Meeting and how to vote your shares at the Annual Meeting, along with your unique link to attend the Annual Meeting, via email. Stockholders will need their unique control number which appears on the Notice (printed in the shaded box) and the instructions that accompanied the Proxy Materials. If your shares of common stock are held by a bank, broker or other holder of record, and you do not have a control number, please contact your bank, broker or other holder of record as soon as possible, so that you can be provided with a control number and register to gain access to the Annual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Meeting’s Rules of Conduct will be posted on www.proxydocs.com/PLTK approximately two weeks prior to the day of the Annual Meeting.</w:t>
      </w: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Technical Assistance: </w:t>
      </w:r>
      <w:r>
        <w:rPr>
          <w:rFonts w:ascii="Times New Roman" w:cs="Times New Roman" w:eastAsia="Times New Roman" w:hAnsi="Times New Roman"/>
          <w:sz w:val="18"/>
          <w:szCs w:val="18"/>
          <w:color w:val="auto"/>
        </w:rPr>
        <w:t>Beginning 30 minutes prior to the start of and during the virtual Annual Meeting, we will have a support team ready to assist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with any technical difficulties they may have accessing or hearing the virtual meeting.</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you should call our support team at the toll-free number that will be provided to you via email following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Voting shares prior to and at the virtual Annual Meeting: </w:t>
      </w:r>
      <w:r>
        <w:rPr>
          <w:rFonts w:ascii="Times New Roman" w:cs="Times New Roman" w:eastAsia="Times New Roman" w:hAnsi="Times New Roman"/>
          <w:sz w:val="18"/>
          <w:szCs w:val="18"/>
          <w:color w:val="auto"/>
        </w:rPr>
        <w:t>Stockholders may vote their shares at www.proxypush.com/PLTK prior to the start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virtual Annual Meeting. If your shares of common stock are held by a bank, broker or other holder of record, you may not vote these shares online at our Annual Meeting unless you obtain a “legal proxy” from the bank, broker or other holder of record that holds your shares, giving you the right to vote the shares at the Annual Meeting.</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Availability of live webcast to our employees and other constituents: </w:t>
      </w:r>
      <w:r>
        <w:rPr>
          <w:rFonts w:ascii="Times New Roman" w:cs="Times New Roman" w:eastAsia="Times New Roman" w:hAnsi="Times New Roman"/>
          <w:sz w:val="18"/>
          <w:szCs w:val="18"/>
          <w:color w:val="auto"/>
        </w:rPr>
        <w:t>The live audio webcast will be available to not only our stockholders, but also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other constituents.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Guide</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00" w:type="dxa"/>
            <w:vAlign w:val="bottom"/>
            <w:vMerge w:val="restart"/>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80" w:type="dxa"/>
            <w:vAlign w:val="bottom"/>
            <w:vMerge w:val="restart"/>
          </w:tcPr>
          <w:p>
            <w:pPr>
              <w:spacing w:after="0"/>
              <w:rPr>
                <w:sz w:val="24"/>
                <w:szCs w:val="24"/>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VOTE</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0" w:type="dxa"/>
            <w:vAlign w:val="bottom"/>
          </w:tcPr>
          <w:p>
            <w:pPr>
              <w:spacing w:after="0"/>
              <w:rPr>
                <w:sz w:val="1"/>
                <w:szCs w:val="1"/>
                <w:color w:val="auto"/>
              </w:rPr>
            </w:pPr>
          </w:p>
        </w:tc>
      </w:tr>
      <w:tr>
        <w:trPr>
          <w:trHeight w:val="218"/>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Board believes that the six director nominees named herein contribute the breadth and diversity of</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knowledge and experience needed for the advancement of our business strategies and objectives.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2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PUBLIC ACCOUNTING FIRM</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Audit Committee of the Board has appointed Kost Forer Gabbay &amp; Kasierer, a member of Ernst &amp;</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Young Global, as the independent registered public accounting firm for the year ending December 31,</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 and requests stockholders to ratify the appointment.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21"/>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PROPOSAL 3 – ADVISORY VOTE TO APPROVE THE COMPENSATION OF OUR NAMED</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Board recommends that stockholders vote to approve the compensation of our named executive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officers described in this proxy statement.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2"/>
                <w:szCs w:val="22"/>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Proposals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56"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The Board currently consists of six directors who we believe contribute the breadth of knowledge and experience necessary for the advancement of our business strategies and objectives. Based on the recommendation of our Nominating and Corporate Governance Committee, the Board has nominated the following current six directors, for re-election at the Annual Meeting, each to serve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expiring at our annual meeting of stockholders in</w:t>
      </w:r>
    </w:p>
    <w:p>
      <w:pPr>
        <w:spacing w:after="0"/>
        <w:rPr>
          <w:sz w:val="20"/>
          <w:szCs w:val="20"/>
          <w:color w:val="auto"/>
        </w:rPr>
      </w:pPr>
      <w:r>
        <w:rPr>
          <w:rFonts w:ascii="Times New Roman" w:cs="Times New Roman" w:eastAsia="Times New Roman" w:hAnsi="Times New Roman"/>
          <w:sz w:val="18"/>
          <w:szCs w:val="18"/>
          <w:color w:val="auto"/>
        </w:rPr>
        <w:t>2027 and until their respective successors have been duly elected and qualify: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Borders>
              <w:top w:val="single" w:sz="8" w:color="CCEEFF"/>
            </w:tcBorders>
            <w:shd w:val="clear" w:color="auto" w:fill="CCEEFF"/>
          </w:tcPr>
          <w:p>
            <w:pPr>
              <w:spacing w:after="0"/>
              <w:rPr>
                <w:sz w:val="19"/>
                <w:szCs w:val="19"/>
                <w:color w:val="auto"/>
              </w:rPr>
            </w:pPr>
          </w:p>
        </w:tc>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Chairperson of the Board</w:t>
            </w: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 Beilinson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Hong Du</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Dana Gross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Tian Lin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Bing Yuan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 nominees for election currently serves as a director and has consented to serve for a new term if elected. Each nominated director was elected by our stockholders to his or her present term of office. Although it is anticipated that each nominee will be able to serve as a director, should any nominee become unavailable to serve, the shares of our common stock represented by the proxies will be voted for such other person or persons as may be designated by the Board, unless the Board reduces the number of directors accordingly. As of the date of this Proxy Statement, the Board is not aware of any nominee who is unable or will decline to serve as a director.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our nominees, please see the “Board of Directors and Corporate Governance” section of this Proxy Statement.</w:t>
      </w:r>
    </w:p>
    <w:p>
      <w:pPr>
        <w:spacing w:after="0" w:line="293" w:lineRule="exact"/>
        <w:rPr>
          <w:sz w:val="20"/>
          <w:szCs w:val="20"/>
          <w:color w:val="auto"/>
        </w:rPr>
      </w:pPr>
    </w:p>
    <w:p>
      <w:pPr>
        <w:jc w:val="center"/>
        <w:ind w:left="340" w:right="560"/>
        <w:spacing w:after="0" w:line="238" w:lineRule="auto"/>
        <w:rPr>
          <w:sz w:val="20"/>
          <w:szCs w:val="20"/>
          <w:color w:val="auto"/>
        </w:rPr>
      </w:pPr>
      <w:r>
        <w:rPr>
          <w:rFonts w:ascii="Times New Roman" w:cs="Times New Roman" w:eastAsia="Times New Roman" w:hAnsi="Times New Roman"/>
          <w:sz w:val="22"/>
          <w:szCs w:val="22"/>
          <w:b w:val="1"/>
          <w:bCs w:val="1"/>
          <w:color w:val="auto"/>
        </w:rPr>
        <w:t>OUR BOARD OF DIRECTORS RECOMMENDS THAT STOCKHOLDERS VOTE “FOR” EACH OF THE NOMINEES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Kost Forer Gabbay &amp; Kasierer, a member of Ernst &amp; Young Global, as the independent registered public accounting firm to audit our consolidated financial statements and internal control over financial reporting for the year ending December 31, 2026. Representatives of Kost Forer Gabbay &amp; Kasierer, a member of Ernst &amp; Young Global, are expected to be present at the Annual Meeting and will be provided an opportunity to make a statement if the representatives desire to do so. The representatives are also expected to be available to respond to appropriate questions.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ratification by our stockholders is not a prerequisite to the power of the Audit Committee to appoint Kost Forer Gabbay &amp; Kasierer, a member of Ernst &amp; Young Global, as our independent registered public accounting firm, the Board and the Audit Committee believe such ratification to be advisable and in the best interests of the company. Accordingly, stockholders are being requested to ratify, confirm, and approve the appointment of Kost Forer Gabbay &amp; Kasierer, a member of Ernst &amp; Young Global, as our independent registered public accounting firm to conduct the annual audit of our consolidated financial statements and internal control over financial reporting for the year ending December 31, 2026. If the stockholders do not ratify the appointment of Kost Forer Gabbay &amp; Kasierer, a member of Ernst &amp; Young Global, the appointment of an independent registered public accounting firm will be reconsidered by the Audit Committee; however, the Audit Committee has no obligation to change its appointment based on stockholder ratification. If the appointment of Kost Forer Gabbay &amp; Kasierer, a member of Ernst &amp; Young Global, is ratified, the Audit Committee will continue to conduct an ongoing review of its scope of engagement, pricing and work quality, among other factors, and will retain the right to replace Kost Forer Gabbay &amp; Kasierer, a member of Ernst &amp; Young Global, at any time.</w:t>
      </w:r>
    </w:p>
    <w:p>
      <w:pPr>
        <w:spacing w:after="0" w:line="262"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OUR BOARD OF DIRECTORS RECOMMENDS THAT STOCKHOLDERS VOTE “FOR” THE RATIFICATION OF THE APPOINTMENT OF KOST FORER GABBAY &amp; KASIERER, A MEMBER OF ERNST &amp; YOUNG GLOBAL,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Proposal 3 - Advisory Vote to Approve the Compensation of Our Named Executive Officers (“Say-on-Pay” Proposal)</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required by Section 14A(a)(1) of the Securities Exchange Act of 1934, as amended (“Exchange Act”), we are asking our stockholders to vote, on a non-binding, advisory basis, to approve the compensation paid to our named executive officers, as described in the Compensation Discussion and Analysis and the executive compensation tables narrative that follow (the “Say-on-Pay Proposal”). Our Board has decided that we will hold an annual advisory vote to approve the Say-on-Pay Proposal, in light of the fact that a substantial majority of the votes cast at our annual stockholders’ meeting held in June 2021 were voted in favor of holding an annual advisory vote. Following the Say-on-Pay Proposal to be conducted at this Annual Meeting, we expect our next Say-on-Pay Proposal will be conducted at our annual meeting in 2027.</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encourage our stockholders to review the “Executive Compensation” section of this Proxy Statement for more information.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this vote is advisory, it is not binding on us or the Board. Nevertheless, the views expressed by stockholders, whether through this vote or otherwise, are important to management and the Board and, accordingly, the Board and the Compensation Committee of the Board (the “Compensation Committee”) will consider the results of this vote in making determinations in the future regarding executive compensation arrangements.</w:t>
      </w:r>
    </w:p>
    <w:p>
      <w:pPr>
        <w:spacing w:after="0" w:line="244" w:lineRule="exact"/>
        <w:rPr>
          <w:sz w:val="20"/>
          <w:szCs w:val="20"/>
          <w:color w:val="auto"/>
        </w:rPr>
      </w:pPr>
    </w:p>
    <w:p>
      <w:pPr>
        <w:jc w:val="both"/>
        <w:ind w:left="240" w:right="120" w:hanging="103"/>
        <w:spacing w:after="0" w:line="238" w:lineRule="auto"/>
        <w:rPr>
          <w:sz w:val="20"/>
          <w:szCs w:val="20"/>
          <w:color w:val="auto"/>
        </w:rPr>
      </w:pPr>
      <w:r>
        <w:rPr>
          <w:rFonts w:ascii="Times New Roman" w:cs="Times New Roman" w:eastAsia="Times New Roman" w:hAnsi="Times New Roman"/>
          <w:sz w:val="21"/>
          <w:szCs w:val="21"/>
          <w:b w:val="1"/>
          <w:bCs w:val="1"/>
          <w:color w:val="auto"/>
        </w:rPr>
        <w:t>OUR BOARD OF DIRECTORS RECOMMENDS THAT STOCKHOLDERS VOTE “FOR” APPROVAL ON A NON-BINDING ADVISORY BASIS OF THE COMPENSATION OF OUR NAMED EXECUTIVE OFFICERS FOR THE FISCAL YEAR ENDED DECEMBER 31, 2025, AS MORE FULLY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Board of Directors and Corporate Governance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Nominees</w:t>
      </w:r>
    </w:p>
    <w:p>
      <w:pPr>
        <w:spacing w:after="0" w:line="21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The Board has nominated the following six current directors, identified below, for re-election at the Annual Meeting, each to serve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expiring at our annual meeting of stockholders in 2027, and until their respective successors are duly elected and qualify. The information presented below highlights each director nominee’s specific experience, qualifications, attributes, and skills that led the Board to the conclusion that he or she should serve as a director. We believe that all of our director nominees have a reputation for integrity, honesty, and adherence to high ethical standards. They each have demonstrated business acumen and an ability to exercise sound judgment, as well as a commitment of service to Playtika and the Board. We also value the additional perspective that comes from serving on other companies’ boards of directors and board committees. We continue to review the composition of the Board in an effort to assemble a group that can best perpetuate the success of the business and represent stockholder interests through the exercise of sound judgment using its diversity of experience in various areas.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Antokol </w:t>
      </w:r>
      <w:r>
        <w:rPr>
          <w:rFonts w:ascii="Times New Roman" w:cs="Times New Roman" w:eastAsia="Times New Roman" w:hAnsi="Times New Roman"/>
          <w:sz w:val="18"/>
          <w:szCs w:val="18"/>
          <w:color w:val="auto"/>
        </w:rPr>
        <w:t>co-founded the Playtika business in 2010, with our subsidiary, Playtika Ltd., and has served as its Chief Executive Officer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Mr. Antokol has also served as our Chief Executive Officer since October 2019, as our Chairperson of the Board since June 2020 and as our President since April 1, 2026. In these roles, Mr. Antokol has overseen the expansion of our games portfolio and an employee base that grew from less than 50 to more than 3,000 employees. In 2011, he oversaw the sale of Playtika to Caesars Interactive Entertainment, Inc. (“CIE”), and in 2016, Mr. Antokol oversaw the sale of Playtika from CIE to a consortium of investors led by Giant Network Group Co., Ltd. Mr. Antokol received his Practical Engineering degree, with an emphasis on Electricity, from Ort Braude College.</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Antokol’s operational expertise, leadership, historical knowledge and the continuity that he brings to the Board as our founder, Chief Executive Officer and Chairperson of the Board qualify him to continue to serve on the Board.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Beilinson </w:t>
      </w:r>
      <w:r>
        <w:rPr>
          <w:rFonts w:ascii="Times New Roman" w:cs="Times New Roman" w:eastAsia="Times New Roman" w:hAnsi="Times New Roman"/>
          <w:sz w:val="18"/>
          <w:szCs w:val="18"/>
          <w:color w:val="auto"/>
        </w:rPr>
        <w:t>has served as a member of the Board since June 2020, serves as chairperson of our Audit Committee and also serves on the Nominating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Governance Committee. Mr. Beilinson currently serves on the boards of the following public companies: Apollo Global Management, Inc., where he also serves as the chair of its compensation committee and as a member of the audit committee, and Athene Holding Ltd., a retirement services company, where he also serves as the lead independent director and previously served as the chair of its compensation committee. In addition, Mr. Beilinson currently serves on the board of directors of Omni Agent Solutions. Since August 2011, Mr. Beilinson has been the Managing Partner of Beilinson Advisory Group, a financial restructuring and hospitality advisory group that specializes in assisting distressed companies. Most recently, Mr. Beilinson served as Chief Restructuring Officer of Newbury Common Associates LLC (and certain affiliates) from December 2016 to June 2017. Mr. Beilinson previously served as Chief Restructuring Officer of Fisker Automotive from November 2013 to August 2014 and as Chief Restructuring Officer and Chief Executive Officer of Eagle Hospitality Properties Trust, Inc. from August 2011 to December 2014 and Innkeepers USA Trust from November 2008 to March 2012. Mr. Beilinson has previously served on the boards of directors and/or audit committees of a number of other public and privately held companies, including, but not limited to, Westinghouse Electric, Caesars Acquisition Company, Wyndham International, Inc., Apollo Commercial Real Estate Finance, Inc., Innkeepers USA Trust, Gastar Exploration Inc., Acosta, Inc., American Tire, Haggen Stores, Rentpath Holdings, Inc., KB US, Inc., 24 Holdings II, LLC and Monitronics. Mr. Beilinson has a Bachelor of Arts in political science from the University of California, Los Angeles and a Juris Doctor from the University of California Davis Law School.</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Beilinson’s over thirty years of service on the boards of both public and private companies, and his extensive knowledge of legal and compliance issues, including the Sarbanes-Oxley Act of 2002, qualify him to continue to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 w:name="page12"/>
    <w:bookmarkEnd w:id="11"/>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Hong Du </w:t>
      </w:r>
      <w:r>
        <w:rPr>
          <w:rFonts w:ascii="Times New Roman" w:cs="Times New Roman" w:eastAsia="Times New Roman" w:hAnsi="Times New Roman"/>
          <w:sz w:val="18"/>
          <w:szCs w:val="18"/>
          <w:color w:val="auto"/>
        </w:rPr>
        <w:t>has served as a member of the Board since January 2022 and also serves on the Compensation Committee. Since February 2013, Ms. Du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SINA’s Co-President and Chief Operating Officer. Ms. Du joined SINA in November 1999 and worked in Business Development until April 2004. From May 2004 to January 2005, Ms. Du served as Deputy General Manager of 1Pai.com, a joint venture between SINA and Yahoo! Ms. Du rejoined SINA in January 2005 and served as the General Manager of Sales Strategy from January 2005 to March 2005, General Manager of Sales from April 2005 to August 2005, Vice President of Sales from September 2005 to February 2007, Senior Vice President of Sales and Marketing from February 2007 to February 2008, and Chief Operating officer from February 2008 to February 2013. Hong Du has served as a director of Weibo Corporation, a publicly-traded company, since January 2014. Ms. Du holds a B.S. in Applied Chemistry from Harbin Institute of Technology and an M.S. in Business Administration from Lincoln University.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Ms. Du’s extensive experience in the technology industry as well has her service to the board of another major public company in the technology space qualifies her to continue to serve on the Board.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Dana Gross </w:t>
      </w:r>
      <w:r>
        <w:rPr>
          <w:rFonts w:ascii="Times New Roman" w:cs="Times New Roman" w:eastAsia="Times New Roman" w:hAnsi="Times New Roman"/>
          <w:sz w:val="18"/>
          <w:szCs w:val="18"/>
          <w:color w:val="auto"/>
        </w:rPr>
        <w:t>has served as a member of the Board since January 2022 and also serves on the Audit Committee. Since 2022, Ms.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2222"/>
        </w:rPr>
        <w:t>has served as 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2222"/>
        </w:rPr>
        <w:t>of Strategic Initiatives at Fiverr International Ltd. From 2016 to 2023, Ms. Gross served as Chief Operating Officer of Prospera Technologies, an Israeli AI company, which was acquired by Valmont Industries. Prior to joining Prospera Technologies, Ms. Gross was Chief Financial Officer of eToro, a fintech company, from 2014 to 2016, and before that has held senior management roles with bTendo Ltd., SanDisk and M-Systems. Ms. Gross currently serves on the board and committees of Tower Semiconductors Ltd. and SolarEdge. In addition, Ms. Gross previously served on the boards of B. Gaon Holdings, M-Systems, AudioCodes, and PowerDsine and was a venture partner at one of Israel’s leading venture capital funds, Viola Ventures. Ms. Gross graduated Cum Laude from Tel Aviv University with a BSc in Industrial Engineering and received her MBA from San Jose State University</w:t>
      </w:r>
      <w:r>
        <w:rPr>
          <w:rFonts w:ascii="Times New Roman" w:cs="Times New Roman" w:eastAsia="Times New Roman" w:hAnsi="Times New Roman"/>
          <w:sz w:val="18"/>
          <w:szCs w:val="18"/>
          <w:color w:val="000000"/>
        </w:rPr>
        <w: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Ms. Gross’ extensive experience in technology industries and venture capital, including her operational and financial experience, as well as her extensive experience of service to the boards of both public and private companies, qualify her to continue to serve on the Board.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Tian Lin </w:t>
      </w:r>
      <w:r>
        <w:rPr>
          <w:rFonts w:ascii="Times New Roman" w:cs="Times New Roman" w:eastAsia="Times New Roman" w:hAnsi="Times New Roman"/>
          <w:sz w:val="18"/>
          <w:szCs w:val="18"/>
          <w:color w:val="auto"/>
        </w:rPr>
        <w:t>has served as a member of the Board since September 2016. Mr. Lin also serves on the boards of OKC Holdings, EOITEK, ltd and Mydreams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Plus Group Ltd. Mr. Lin served as our Chief Executive Officer, President and Chief Financial Officer from September 2016 to October 2019 and as our Secretary from September 2016 to October 2020, although Mr. Lin has never had an operational role within the Company. Mr. Lin has also served on the boards of certain of our subsidiaries, including Playtika Ltd. from 2016 to 2021. Since January 2025, Mr. Lin has served as a partner of M31 Capital, an investment platform based in China. Mr. Lin joined M31 Capital in January 2018 and served as a managing director until January 2025. Mr. Lin has extensive experience in the technology and online gaming industries, having served as the head of investment at Giant Network Group Co., Ltd. from January 2016 until January 2021 and leading Giant’s acquisition of Playtika in 2016. Mr. Lin received his bachelor of science degree in computer science from Carnegie Mellon and his M.B.A. from Peking University.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Lin’s extensive experience in the gaming and technology industries, as well as the continuity that he brings to the Board through his prior roles at Playtika and his service on the board of directors of our subsidiaries, qualify him to continue to serve on the Board.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Bing Yuan </w:t>
      </w:r>
      <w:r>
        <w:rPr>
          <w:rFonts w:ascii="Times New Roman" w:cs="Times New Roman" w:eastAsia="Times New Roman" w:hAnsi="Times New Roman"/>
          <w:sz w:val="18"/>
          <w:szCs w:val="18"/>
          <w:color w:val="auto"/>
        </w:rPr>
        <w:t>has served as a member of the Board since June 2020, serving as lead independent director since November 2022, serves as chair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and Corporate Governance Committee, and also serves on the Audit Committee and Compensation Committee. Mr. Yuan also currently serves as a director for Haichang Ocean Park Holdings Ltd, Four Seasons Education and 17 Education &amp; Technology Group Inc. From April 2020 to December 2021, Mr. Yuan also served on the board of directors for I-Mab, a clinical stage biopharmaceutical company, where he served as a member of the audit committee. Additionally, Mr. Yuan is co-founder and managing partner of Rockets Capital since January 2022. Previously, Mr. Yuan was a managing director of Hony Capital since 2009. Prior to joining Hony Capital, Mr. Yuan served as a managing director of the investment banking division of Morgan Stanley Asia Limited from 2004 to 2008 and the direct investment department of Morgan Stanley Asia Limited from 2008 to 2009. Mr. Yuan has previously served as a director at other private and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including PizzaExpress from August 2014 to October 2020, Biosensors International Group, Ltd. from May 2016 to July 2017 and Hydoo International Holding Ltd. from July 2011 to September 2019. Mr. Yuan received his bachelor’s degree in English from Nanjing University and received his master’s degree in international relations and his Juris Doctor from Yale University.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Mr. Yuan’s extensive experience in corporate finance, investment banking and service on various companies’ boards of directors qualifies him to continue to serve on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Board should be composed of individuals with sophistication and experience in many substantive areas that impact our business. We believe that all of our current Board members possess the professional and personal qualifications necessary for Board service and have highlighted particularly noteworthy attributes for each Board member in the individual biographies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is currently composed of six members with no vacancies.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(our “Certificate of Incorporation”) provides that the authorized number of directors may be changed only by resolution of the Board. Until the date on which Playtika Holding UK II Limited and its affiliates cease to beneficially own, in the aggregate, more than 50% in voting power of our stock entitled to vote generally in the election of directors (a “Triggering Event”), the Board shall be elected annually to serve from the time of election and qualification until the next annual meeting following their election or until their earlier death, resignation and removal. In addition, until a Triggering Event, our stockholders will have the right to remove any of our directors with or without cause by a majority vote of the stockholders. Following a Triggering Event, the Board will be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or until their earlier death, resignation or removal. In addition, following a Triggering Event, our stockholders will have the right to remove any of our directors only for cause by a majority vote of the stockholders.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authorized number of directors may be changed only by resolution of the Board. Following a Triggering Event, any additional directorships resulting from an increase in the number of directors will be distributed among the three classes so that, as nearly as possible, each class will consist of one-third of the directors. The division of the Board into three classes with staggered three-year terms may delay or prevent a change of our management or a change in control.</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Playtika Holding UK II Limited beneficially owns shares representing more than 50% of the voting power of our shares eligible to vote in the election of directors. As a result, we are a “controlled company” within the meaning of the corporate governance standards of the Nasdaq Stock Market (“Nasdaq”). Under these corporate governance standards, a company of which more than 50% of the voting power is held by an individual, group or another company is a “controlled company” and may elect not to comply with certain corporate governance standards, including the requirements (1) that a majority of the Board consist of independent directors, (2) that the Board have a compensation committee that is comprised entirely of independent directors and (3) that the Board have a nominating and governance committee that is comprised entirely of independent directors. We do not plan to utilize the exemptions available for controlled companies at this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does not have a policy with respect to whether the role of the Chairperson and the Chief Executive Officer should be separate and, if it is to be separate, whether the Chairperson should be selected from the non-employee directors or be an employee. Mr. Antokol, our Chief Executive Officer and President, currently serves as Chairperson of the Board. The Board has determined that, like many U.S. companies, this is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leadership structure for the Company at this time because Mr. Antokol is uniquely positioned to serve as our Chairperson as our Chief Executive Officer and President with significant industry experience and depth of knowledge about our operations. The Board acknowledges that no single leadership model is right for all companies at all times. As such, the Board periodically reviews its leadership structure and may, depending on the circumstances, choose a different leadership structure in the future.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determined that each of Mr. Beilinson, Ms. Du, Ms. Gross and Mr. Yuan is an “independent director” as defined under the applicable rules and regulations of the SEC and the listing requirements and rules of Nasdaq. In making these determinations, the Board reviewed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any transactions involving them described in the section titled “Related Party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met ten times during 2025. All directors attended at least 75% of the aggregate of (i) the total number of meetings of the Board while they were members of the Board, and (ii) the total number of meetings of the committees of the Board on which such directors served during the period he or she served. We do not have a policy with regard to our directors’ attendance at annual meetings of stockholders. Our directors did not attend the 2025 virtual annual meeting of the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the management of our risks. The Board is responsible for general oversight of risks and regular review of information regarding our risks, including credit risks, cybersecurity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financial and cybersecurity reporting. The Audit Committee is also responsible for overseeing the management of risks associated with the independence of the Board and potential conflicts of interest. The Nominating and Corporate Governance Committee is responsible for overseeing our corporate responsibility programs and monitoring the effectiveness of our corporate governance guidelines and principles. Although each committee is responsible for evaluating certain risks and overseeing the management of such risks, the entire board of directors is regularly informed through discussions from committee members about such risks. The Board believes its administration of its risk oversight function has not negatively affected the Board’s leadership structure.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adopted a written code of business conduct and ethics that applies to our directors, officers and employees, including our principal executive officer, principal financial officer, principal accounting officer or controller, or persons performing similar functions. A copy of our code of business conduct and ethics is available in the investors section of our corporate website at www.playtika.com.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adopted corporate governance guidelines that promote the functioning of the Board and its committees and set forth expectations as to how the Board should operate. The guidelines include information about the composition of the Board, orientation and continuing education, director compensation, Board meetings, Board committees, management succession, expectations of directors, and information regarding the performance evaluation of the Board. A current copy of our corporate governance guidelines is available in the investors section of our corporate website at www.playtika.com.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an officer or one of our employees. None of our executive officers currently serves, or in the past year has served, as a member of the Board or Compensation Committee (or other board committee performing equivalent functions or, in the absence of any such committee, the entire board of directors) of any entity that has one or more executive officers serving on the Board or Compensation Committee.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Anti-Pledging, and Insider Trading Policies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ensure proper alignment with our stockholders, we have established policies that prohibit our directors, officers, employees, and their family members from engaging in any transaction that might allow them to realize gains from declines in our securities. Specifically, we prohibit our directors, officers, employees, and their family members from engaging in transactions using derivative securities, short selling our securities, trading in any puts, calls or covered calls, writing purchase or call options and short sales, or otherwise participating in hedging, “stop loss,” or other speculative transactions involving our securities. In addition, margin purchases of our securities and pledging any of our securities as collateral to secure loans is prohibited.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policies that prohibit all directors, officers and employees of the Company and its controlled affiliates in possession of material non-public information about the Company or companies with whom the Company does business to abstain from trading or advising others to trade in the respective company’s securities from the time that they obtain such inside information until adequate public disclosure of the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and a Nominating and Corporate Governance Committee, each of which has the composition and the responsibilities described below. In addition, from time to time, special committees may be established under the direction of the Board when necessary to address specific issues.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Audit Committee, the Compensation Committee and the Nominating and Corporate Governance Committee operate under a written charter that was approved by the Board. A copy of each of the Audit Committee, Compensation Committee and Nominating and Corporate Governance Committee charters are available in the investors section of our corporate website at www.playtika.com.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and assists the Board in monitoring our financial systems. Our Audit Committee is responsible for, among other things:</w:t>
      </w:r>
    </w:p>
    <w:p>
      <w:pPr>
        <w:spacing w:after="0" w:line="18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our independent registered public accounting firm;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registered public accounting firm their independence from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our independent registered public accounting firm the scope and results of their audit;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audit and permissible non-audit services to be performed by our independent registered public accounting firm;</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interim and annual financial statements that we file with the SEC;</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our accounting principles, accounting policies, financial and accounting controls and compliance with legal and regulatory requirements; and</w:t>
      </w: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both"/>
        <w:spacing w:after="0" w:line="312" w:lineRule="auto"/>
        <w:rPr>
          <w:sz w:val="20"/>
          <w:szCs w:val="20"/>
          <w:color w:val="auto"/>
        </w:rPr>
      </w:pPr>
      <w:r>
        <w:rPr>
          <w:rFonts w:ascii="Times New Roman" w:cs="Times New Roman" w:eastAsia="Times New Roman" w:hAnsi="Times New Roman"/>
          <w:sz w:val="17"/>
          <w:szCs w:val="17"/>
          <w:color w:val="auto"/>
        </w:rPr>
        <w:t>Our Audit Committee consists of Mr. Beilinson, Ms. Gross and Mr. Yuan, with Mr. Beilinson serving as chair. The Board has affirmatively determined that Mr. Beilinson, Ms. Gross and Mr. Yuan each meet the requirements for independence under current Nasdaq listing standards and SEC rules and regulations.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Board has determined that each member of our Audit Committee is financially literate, and that each of Mr. Beilinson, Ms. Gross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Yuan is an “audit committee financial expert” as defined in Item 407(d) of Regulation S-K promulgated under the Securities Act.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met four times during the fiscal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our compensation policies, plans and benefits programs. Our Compensation Committee is responsible for, among other things:</w:t>
      </w:r>
    </w:p>
    <w:p>
      <w:pPr>
        <w:spacing w:after="0" w:line="189" w:lineRule="exact"/>
        <w:rPr>
          <w:sz w:val="20"/>
          <w:szCs w:val="20"/>
          <w:color w:val="auto"/>
        </w:rPr>
      </w:pPr>
    </w:p>
    <w:p>
      <w:pPr>
        <w:ind w:left="660" w:right="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Board regarding the compensation of our Chief Executive Officer and other executive officers;</w:t>
      </w:r>
    </w:p>
    <w:p>
      <w:pPr>
        <w:ind w:left="660" w:right="2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regarding our incentive compensation and equity-based plans and arrangements;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clawback policy.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Ms. Du and Mr. Yuan. The Board has affirmatively determined that each of Ms. Du and Mr. Yuan meets the requirements for independence under the current Nasdaq listing standards and that each is a non-employee director, as defined in Section 16b-3 of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met seven times during the fiscal year ended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oversees and assists the Board in reviewing and recommending nominees for election as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234"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consistent with criteria approved by the Board;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nominees for election to the Board at annual meetings of our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overall effectiveness of the Board;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and principles.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Mr. Beilinson and Mr. Yuan, with Mr. Yuan serving as chair. The Board has affirmatively determined that each of Mr. Beilinson and Mr. Yuan meet the requirements for independence under the current Nasdaq listing standards, and the composition of our Nominating and Corporate Governance Committee meets the applicable requirements under Nasdaq listing standards.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Corporate Governance Committee met once during the fiscal year ended December 31, 2025.</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Nominating and Corporate Governance Committee does not have any specific, minimum qualifications for Board nominees, in considering possible candidates for election as a director, the committee strives to compose the Board with a collection of complementary skills and which, as a group, will possess the appropriate skills and experience to effectively oversee the Company’s business. In evaluating a potential candidate for the Board, our Nominating and Corporate Governance Committee takes into account a number of factors, including: personal and professional integrity; ethics and values; experience in corporate management, such as current or past service as an officer of a publicly held company; and a general understanding of marketing, finance, and other elements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spacing w:after="0" w:line="254" w:lineRule="auto"/>
        <w:rPr>
          <w:sz w:val="20"/>
          <w:szCs w:val="20"/>
          <w:color w:val="auto"/>
        </w:rPr>
      </w:pPr>
      <w:r>
        <w:rPr>
          <w:rFonts w:ascii="Times New Roman" w:cs="Times New Roman" w:eastAsia="Times New Roman" w:hAnsi="Times New Roman"/>
          <w:sz w:val="18"/>
          <w:szCs w:val="18"/>
          <w:color w:val="auto"/>
        </w:rPr>
        <w:t>to the success of a publicly traded company; experience in the Company’s industry; experience as a board member of another publicly held company; academic expertise in an area of the Company’s operations; and practical and mature business judgment, including the ability to make independent analytical inquiries. Although diversity may be a consideration in the Nominating and Corporate Governance Committee’s process, the committee does not have a formal policy regarding the consideration of diversity in identifying director nominees. The Nominating and Corporate Governance Committee will review the qualifications and backgrounds of directors and nominees (without regard to whether a nominee has been recommended by a stockholder), as well as the overall composition of the Board, and recommend the slate of directors to be nominated for election at the next annual meeting of stockholders. The Nominating and Corporate Governance Committee does not currently employ or pay a fee to any third-party to identify or evaluate, or assist in identifying or evaluating, potential director nominees.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Board determines to seek additional directors for nomination, the Nominating and Corporate Governance Committee will consider as potential director nominees candidates recommended by various sources, including any member of the Board or senior management. The Nominating and Corporate Governance Committee may also retain a third-party search firm to identify candidates. The committee also considers recommendations for nominees that are timely submitted by stockholders if such recommendations are delivered in the manner prescribed by the advance notice provisions contained in our bylaws. In addition to satisfying the timing, ownership and other requirements specified in our bylaws, a stockholder’s notice must set forth as to each person whom the stockholder proposes to recommend all information relating to such person that is required to be disclosed in solicitations of proxies for election of directors in an election contest, or is otherwise required, pursuant to Regulation 14A under the Exchange Act and our bylaws (including such person’s written consent to being named in the proxy statement as a nominee and to serve as a director if elected). Properly communicated stockholder recommendations will be considered in the same manner as recommendations received from other sources.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Chairperson of the Board or with the non-employee directors, as a group, by sending such written communication to our Corporate Secretary at c/o Playtika Ltd., HaChoshlim St 8, Herzliya Pituach, Israel, Attn: Corporate Secretary.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appropriate correspondence will be promptly forwarded by the Corporate Secretary to the Chairperson or the relevant directors. The Corporate Secretary may analyze and prepare a response to the information contained in communications received and may deliver a copy of the communication to other Company staff members or agents who are responsible for analyzing or responding to complaints or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5"/>
          <w:szCs w:val="25"/>
          <w:b w:val="1"/>
          <w:bCs w:val="1"/>
          <w:color w:val="auto"/>
        </w:rPr>
        <w:t>Director Compensation</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2025, regarding the compensation awarded to, earned by or paid to our non-employee directors who served on the Board during 2025. Mr. Antokol, the Chairperson of the Board, who also served as our Chief Executive Officer during the year ended December 31, 2025, and continues to serve in that capacity and, since April 1, 2026, as our President, does not receive any additional compensation for his board service and therefore is not included in the Director Compensation table below. All compensation paid to Mr. Antokol is reported below in the “2025 Summary Compensation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20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All Other Compensation</w:t>
            </w:r>
          </w:p>
        </w:tc>
        <w:tc>
          <w:tcPr>
            <w:tcW w:w="1800" w:type="dxa"/>
            <w:vAlign w:val="bottom"/>
            <w:vMerge w:val="restart"/>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16"/>
        </w:trPr>
        <w:tc>
          <w:tcPr>
            <w:tcW w:w="3660" w:type="dxa"/>
            <w:vAlign w:val="bottom"/>
            <w:gridSpan w:val="2"/>
            <w:vMerge w:val="continue"/>
          </w:tcPr>
          <w:p>
            <w:pPr>
              <w:spacing w:after="0"/>
              <w:rPr>
                <w:sz w:val="18"/>
                <w:szCs w:val="18"/>
                <w:color w:val="auto"/>
              </w:rPr>
            </w:pPr>
          </w:p>
        </w:tc>
        <w:tc>
          <w:tcPr>
            <w:tcW w:w="188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4"/>
              </w:rPr>
              <w:t>Cash ($)</w:t>
            </w:r>
            <w:r>
              <w:rPr>
                <w:rFonts w:ascii="Times New Roman" w:cs="Times New Roman" w:eastAsia="Times New Roman" w:hAnsi="Times New Roman"/>
                <w:sz w:val="21"/>
                <w:szCs w:val="21"/>
                <w:b w:val="1"/>
                <w:bCs w:val="1"/>
                <w:color w:val="auto"/>
                <w:w w:val="94"/>
                <w:vertAlign w:val="superscript"/>
              </w:rPr>
              <w:t>(1)</w:t>
            </w:r>
          </w:p>
        </w:tc>
        <w:tc>
          <w:tcPr>
            <w:tcW w:w="1800" w:type="dxa"/>
            <w:vAlign w:val="bottom"/>
          </w:tcPr>
          <w:p>
            <w:pPr>
              <w:jc w:val="right"/>
              <w:ind w:right="658"/>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9"/>
                <w:szCs w:val="9"/>
                <w:b w:val="1"/>
                <w:bCs w:val="1"/>
                <w:color w:val="auto"/>
              </w:rPr>
              <w:t>(2)</w:t>
            </w:r>
          </w:p>
        </w:tc>
        <w:tc>
          <w:tcPr>
            <w:tcW w:w="100" w:type="dxa"/>
            <w:vAlign w:val="bottom"/>
          </w:tcPr>
          <w:p>
            <w:pPr>
              <w:spacing w:after="0"/>
              <w:rPr>
                <w:sz w:val="18"/>
                <w:szCs w:val="18"/>
                <w:color w:val="auto"/>
              </w:rPr>
            </w:pPr>
          </w:p>
        </w:tc>
        <w:tc>
          <w:tcPr>
            <w:tcW w:w="1900" w:type="dxa"/>
            <w:vAlign w:val="bottom"/>
          </w:tcPr>
          <w:p>
            <w:pPr>
              <w:ind w:left="8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 Beilinson</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240,921</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480,921</w:t>
            </w:r>
          </w:p>
        </w:tc>
        <w:tc>
          <w:tcPr>
            <w:tcW w:w="0" w:type="dxa"/>
            <w:vAlign w:val="bottom"/>
          </w:tcPr>
          <w:p>
            <w:pPr>
              <w:spacing w:after="0"/>
              <w:rPr>
                <w:sz w:val="1"/>
                <w:szCs w:val="1"/>
                <w:color w:val="auto"/>
              </w:rPr>
            </w:pP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Du</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240,921</w:t>
            </w:r>
          </w:p>
        </w:tc>
        <w:tc>
          <w:tcPr>
            <w:tcW w:w="100" w:type="dxa"/>
            <w:vAlign w:val="bottom"/>
          </w:tcPr>
          <w:p>
            <w:pPr>
              <w:spacing w:after="0"/>
              <w:rPr>
                <w:sz w:val="19"/>
                <w:szCs w:val="19"/>
                <w:color w:val="auto"/>
              </w:rPr>
            </w:pPr>
          </w:p>
        </w:tc>
        <w:tc>
          <w:tcPr>
            <w:tcW w:w="20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430,921</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Dana Gross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240,921</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315,921</w:t>
            </w:r>
          </w:p>
        </w:tc>
        <w:tc>
          <w:tcPr>
            <w:tcW w:w="0" w:type="dxa"/>
            <w:vAlign w:val="bottom"/>
          </w:tcPr>
          <w:p>
            <w:pPr>
              <w:spacing w:after="0"/>
              <w:rPr>
                <w:sz w:val="1"/>
                <w:szCs w:val="1"/>
                <w:color w:val="auto"/>
              </w:rPr>
            </w:pP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Tian Lin</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Bing Yuan</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240,921</w:t>
            </w: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498,421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500" w:hanging="492"/>
        <w:spacing w:after="0" w:line="261" w:lineRule="auto"/>
        <w:tabs>
          <w:tab w:leader="none" w:pos="324"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reflect the following fees paid to Messrs. Beilinson and Yuan and Mses. Gross and Du during 2025: (i) Mr. Beilinson received an annual cash retainer of $50,000 for his service on the board and an additional retainer of $50,000 (annually), $10,000 (annually) and $20,000 (per month) for his service as chair and member of the Audit Committee, a member of the Nominating and Corporate Governance Committee and a member of the Special Committee, respectively, (ii) Ms. Du received an annual cash retainer of $50,000 for her service on the board and an additional retainer of $10,000 (annually) and $20,000 (per month) for her service as a member of the Compensation Committee and a member of the Special Committee, respectively, (iii) Ms. Gross received an annual cash retainer of $50,000 for her service on the board and an additional retainer of $25,000 (annually) for her service as a member of the Audit Committee and (iv) Mr. Yuan received an annual cash retainer of $50,000 for his service on the board and an additional retainer of $25,000 (annually), $10,000 (annually), $10,000 (annually) and $25,000 (per month) for his service as a member of the Audit Committee, a member of the Nominating and Corporate Governance Committee, a member of the Compensation Committee and the chair and member of the Special Committee, respectively. Mr. Lin did not receive any compensation for his service on the Board in 2025.</w:t>
      </w:r>
    </w:p>
    <w:p>
      <w:pPr>
        <w:spacing w:after="0" w:line="214" w:lineRule="exact"/>
        <w:rPr>
          <w:rFonts w:ascii="Times New Roman" w:cs="Times New Roman" w:eastAsia="Times New Roman" w:hAnsi="Times New Roman"/>
          <w:sz w:val="22"/>
          <w:szCs w:val="22"/>
          <w:color w:val="auto"/>
          <w:vertAlign w:val="superscript"/>
        </w:rPr>
      </w:pPr>
    </w:p>
    <w:p>
      <w:pPr>
        <w:ind w:left="500" w:hanging="492"/>
        <w:spacing w:after="0" w:line="241" w:lineRule="auto"/>
        <w:tabs>
          <w:tab w:leader="none" w:pos="339"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reflect the full grant-date fair value of the 35,274 fully vested RSUs granted to each of Messrs. Beilinson and Yuan and Mses. Gross and Du during 2025 calculated in accordance with ASC 718, Compensation—Stock Compensation (“ASC 718”), rather than the amounts paid to or realized by the non-employee director. We provide information regarding the assumptions used to calculate the value of all RSUs made to the non-employee directors in Note 14 to our financial statements included in our Annual Report on Form 10-K for the year ending December 31, 2025, filed with the SEC on February 26, 2026. No non-employee members of the Board held outstanding unvested awards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 w:name="page19"/>
    <w:bookmarkEnd w:id="18"/>
    <w:p>
      <w:pPr>
        <w:ind w:left="3380"/>
        <w:spacing w:after="0"/>
        <w:rPr>
          <w:sz w:val="20"/>
          <w:szCs w:val="20"/>
          <w:color w:val="auto"/>
        </w:rPr>
      </w:pPr>
      <w:r>
        <w:rPr>
          <w:rFonts w:ascii="Times New Roman" w:cs="Times New Roman" w:eastAsia="Times New Roman" w:hAnsi="Times New Roman"/>
          <w:sz w:val="25"/>
          <w:szCs w:val="25"/>
          <w:b w:val="1"/>
          <w:bCs w:val="1"/>
          <w:color w:val="auto"/>
        </w:rPr>
        <w:t>Information about our Executive Officers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about the executive officers as of April 16, 2026.</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8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3"/>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Borders>
              <w:top w:val="single" w:sz="8" w:color="CCEEFF"/>
            </w:tcBorders>
            <w:shd w:val="clear" w:color="auto" w:fill="CCEEFF"/>
          </w:tcPr>
          <w:p>
            <w:pPr>
              <w:spacing w:after="0"/>
              <w:rPr>
                <w:sz w:val="19"/>
                <w:szCs w:val="19"/>
                <w:color w:val="auto"/>
              </w:rPr>
            </w:pPr>
          </w:p>
        </w:tc>
        <w:tc>
          <w:tcPr>
            <w:tcW w:w="7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Chairperson of the Board</w:t>
            </w: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Tae Lee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Acting Chief Financial Officer</w:t>
            </w: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29"/>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Ariel Sandler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23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Uri Rubin</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Gili Brudno</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r>
    </w:tbl>
    <w:p>
      <w:pPr>
        <w:spacing w:after="0" w:line="3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Antokol </w:t>
      </w:r>
      <w:r>
        <w:rPr>
          <w:rFonts w:ascii="Times New Roman" w:cs="Times New Roman" w:eastAsia="Times New Roman" w:hAnsi="Times New Roman"/>
          <w:sz w:val="18"/>
          <w:szCs w:val="18"/>
          <w:color w:val="auto"/>
        </w:rPr>
        <w:t>co-founded the Playtika business in 2010, with our subsidiary, Playtika Ltd., and has served as its Chief Executive Officer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founding. Mr. Antokol has also served as our Chief Executive Officer since October 2019, our Chairperson of the Board since June 2020 and as our President since April 1, 2026. For Mr. Antokol’s biographical information, see “Board of Directors and Corporate Governance—Director Nominees” above.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Tae Lee </w:t>
      </w:r>
      <w:r>
        <w:rPr>
          <w:rFonts w:ascii="Times New Roman" w:cs="Times New Roman" w:eastAsia="Times New Roman" w:hAnsi="Times New Roman"/>
          <w:sz w:val="18"/>
          <w:szCs w:val="18"/>
          <w:color w:val="auto"/>
        </w:rPr>
        <w:t>has served as our acting Chief Financial Officer since April 1, 2026. Prior to that role, Mr. Lee served as our Vice President Corporate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2021 to 2023 and as our Senior Vice President Corporate Finance and Investor Relations from 2023 to 2026. In these roles, Mr. Lee led the Company’s corporate finance and investor relations functions, including external reporting cadence, strategic finance and financial planning and analysis. Prior to joining the Company, he served as Corporate Finance Manager at Meta Platforms, Inc. (f/k/a Facebook, Inc.) from September 2019 to July 2021. Prior to his role at Meta Platforms, Inc., Mr. Lee worked in the Investment Banking Division at Goldman Sachs, where his last held title was Vice President, from 2012 to 2019. He began his career as a consultant at The Cambridge Group from 2006 to 2010. Mr. Lee holds a Master of Business Administration from Columbia Business School and a bachelor of arts in economics from the University of Chicago.</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Cohen </w:t>
      </w:r>
      <w:r>
        <w:rPr>
          <w:rFonts w:ascii="Times New Roman" w:cs="Times New Roman" w:eastAsia="Times New Roman" w:hAnsi="Times New Roman"/>
          <w:sz w:val="18"/>
          <w:szCs w:val="18"/>
          <w:color w:val="auto"/>
        </w:rPr>
        <w:t>has served as our Chief Legal Officer since December 2021 and as our Corporate Secretary since October 2020. Prior to these roles,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Cohen served as our Executive Vice President and General Counsel from October 2016 to December 2021, and as Senior Vice President, Corporate Development, General Counsel and Corporate Secretary of Caesars Acquisition Company from April 2014 to October 2017. Mr. Cohen holds a bachelor of business administration degree from the University of Wisconsin-Madison and a Juris Doctor from Northwestern University School of Law.</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Nir Korczak </w:t>
      </w:r>
      <w:r>
        <w:rPr>
          <w:rFonts w:ascii="Times New Roman" w:cs="Times New Roman" w:eastAsia="Times New Roman" w:hAnsi="Times New Roman"/>
          <w:sz w:val="18"/>
          <w:szCs w:val="18"/>
          <w:color w:val="auto"/>
        </w:rPr>
        <w:t>has served as our Chief Marketing Officer since March 2017, overseeing the establishment of our centralized marketing function. He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developing and executing our comprehensive marketing plan, including strategy, recruitment and processes to facilitate our growth and increase our revenues. In addition, from May 2024 to November 2025, Mr. Korczak served as an Executive General Manager with responsibility over Solitaire Grand Harvest and World Series of Poker. Previously, Mr. Korczak served as Chief Executive Officer of Aditor LTD, a mobile advertising company that we acquired in March 2017, from 2015 to March 2017, where he managed and oversaw the development of Aditor’s innovative advertising solutions and technologies. Prior to serving as Chief Executive Officer of Aditor, Mr. Korczak also served as Head of Exports Sectors at Google Israel from 2006 to 2015. Mr. Korczak holds a bachelor of science degree in industrial engineering management and information systems from Ben Gurion University and a Master of Business Administration from Tel Aviv University.</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Ariel Sandler </w:t>
      </w:r>
      <w:r>
        <w:rPr>
          <w:rFonts w:ascii="Times New Roman" w:cs="Times New Roman" w:eastAsia="Times New Roman" w:hAnsi="Times New Roman"/>
          <w:sz w:val="18"/>
          <w:szCs w:val="18"/>
          <w:color w:val="auto"/>
        </w:rPr>
        <w:t>has served as our Chief Operations Officer since May 2024. Prior to that, Mr. Sandler served as our Executive Vice President,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from January 2022 to May 2024. Mr. Sandler is responsible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global operations of the Company, procurement, welfare, real estate, payroll, security and safety. With 20 years of experience in operations and finance, Mr. Sandler’s background also includes roles at companies such Logia Group Ltd. and Grant Thornton. Mr. Sandler is a certified public accountant with registration in Israel and holds a bachelr of arts in economics and accounting from Ben-Gurion University and Master of Business Administration from Tel Aviv University.</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Uri Rubin </w:t>
      </w:r>
      <w:r>
        <w:rPr>
          <w:rFonts w:ascii="Times New Roman" w:cs="Times New Roman" w:eastAsia="Times New Roman" w:hAnsi="Times New Roman"/>
          <w:sz w:val="18"/>
          <w:szCs w:val="18"/>
          <w:color w:val="auto"/>
        </w:rPr>
        <w:t>has served as our Chief Technology Officer since May 2024. Prior to that, Mr. Rubin served as Senior Vice President,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from January 2021 to May 2024. Mr. Rubin is responsible for overseeing our technology roadmap. Previously, Mr. Rubin served as our Vice President of Engineering from 2017 to 2021. With nearly 20 years of experience in research and development and engineering, Mr. Rubin’s background also includes roles at companies such as HP and Panorama Software. Mr. Rubin holds a bachelor of science in software engineering from Ben Gurion University.</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Gili Brudno </w:t>
      </w:r>
      <w:r>
        <w:rPr>
          <w:rFonts w:ascii="Times New Roman" w:cs="Times New Roman" w:eastAsia="Times New Roman" w:hAnsi="Times New Roman"/>
          <w:sz w:val="18"/>
          <w:szCs w:val="18"/>
          <w:color w:val="auto"/>
        </w:rPr>
        <w:t>has served as our Chief Human Resources Officer since March 2023. Ms. Brudno oversees our global human resources strategy. She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shaping our culture and developing best practices and processes designed to maintain the Company as an attractive employer that inspires the world’s most passionate talent. Previously, Ms. Brudno served as BioCatch’s Chief People Officer, from 2021 to 2023, as SAP’s VP HR for the Global Services Sales Business, from 2015 to 2020, and at TEVA Pharmaceutical Industries in various senior positions, from 2005 to 2015. Ms. Brudno holds a Master of Business Administration from the Paris School of Business and a bachelor of arts in behavioral sciences from the College of Management Academic Studies in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5"/>
          <w:szCs w:val="25"/>
          <w:b w:val="1"/>
          <w:bCs w:val="1"/>
          <w:color w:val="auto"/>
        </w:rPr>
        <w:t>Executive Compensation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Discussion and Analysis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sections of this compensation discussion and analysis provide information about the material components of our executive compensation program for 2025 for our “named executive officers.” For 2025, our named executive officers were:</w:t>
      </w:r>
    </w:p>
    <w:p>
      <w:pPr>
        <w:spacing w:after="0" w:line="189"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Antokol, Chief Executive Officer, President and Chairperson of the Board;</w:t>
      </w:r>
    </w:p>
    <w:p>
      <w:pPr>
        <w:spacing w:after="0" w:line="252"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Abrahams, former President and Chief Financial Officer;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Cohen, Chief Legal Officer and Corporate Secretary;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Uri Rubin, Chief Technology Officer;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Nir Korczak, Chief Marketing Officer</w:t>
      </w:r>
    </w:p>
    <w:p>
      <w:pPr>
        <w:spacing w:after="0" w:line="25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Mr. Abrahams departed as President and Chief Financial Officer of the Company, effective as of April 1, 2026, and Mr. Antokol was subsequently appointed as President of the Company effective on such date. In connection with Mr. Abrahams’ separation, Tae Lee was appointed to serve as the Company’s acting Chief Financial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Executive Compensation Program and 2025 Say on Pay Vote</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Company’s 2025 executive compensation program effectively balanced shareholder alignment, performance-based pay, retention and the fulfillment of the Company’s obligations under existing employment and other agreements.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executive compensation program received the support of approximately 85% of the total votes cast at our 2025 Annual Meeting. These results show continued support of our program, which we view as confirmation of the efforts we have made in the past to develop and enhance our compensation program in a manner that is responsive to stakeholder feedback and further aligns executive compensation with long-term shareholder value creation, while also complying with existing employment and other agreements. Since 2021, we have engaged in outreach efforts with key stakeholders to solicit feedback on compensation and governance matters. This feedback informed our compensation practices and contributed to the iterative design of our executive compensation program which also incorporates the feedback that we gathered and analyzed from certain stockholders, proxy advisory firms, the Compensation Committee’s independent compensation consultant, management and our full Board. Our Compensation Committee’s objective has been to develop, adopt and implement an executive compensation program that is in line with market best practices and stockholder expectations.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ongoing process of evaluating executive compensation, the Compensation Committee again retained Pearl Meyer &amp; Partners LLC (“Pearl Meyer”), as its independent compensation consultant for 2025, to gain further insight on current pay practices to ensure that our approach going forward effectively balances competitive market practices, stockholder expectations, best-practice governance standards and our business strategy.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for 2025 was redesigned at the end of 2024 to account for the expiration of the Playtika Holding Corp. 2021-2024 Retention Plan (the “Retention Plan”) on December 31, 2024, which previously accounted for a large portion of our named executive officers’ total compensation, and which made up the largest component of long-term incentive compensation for our named executive officers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Executive Compensation Program Highlights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an overview of certain key features of our 2025 compensation program. These features demonstrate that we are committed to putting forth an executive compensation program that aligns the interests of our executives with our long-term stockholders, is dutifully governed, and is well-positioned to continue to attract, engage, and retain the high-caliber leadership talent needed to lead Playtika well into the future.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Salaries Updated for 2025</w:t>
            </w:r>
          </w:p>
        </w:tc>
        <w:tc>
          <w:tcPr>
            <w:tcW w:w="8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In light of the expiration of the Retention Plan at the end of 2024 and the resulting elimination of a</w:t>
            </w:r>
          </w:p>
        </w:tc>
      </w:tr>
      <w:tr>
        <w:trPr>
          <w:trHeight w:val="216"/>
        </w:trPr>
        <w:tc>
          <w:tcPr>
            <w:tcW w:w="2900" w:type="dxa"/>
            <w:vAlign w:val="bottom"/>
            <w:shd w:val="clear" w:color="auto" w:fill="CCEEFF"/>
          </w:tcPr>
          <w:p>
            <w:pPr>
              <w:spacing w:after="0"/>
              <w:rPr>
                <w:sz w:val="18"/>
                <w:szCs w:val="18"/>
                <w:color w:val="auto"/>
              </w:rPr>
            </w:pPr>
          </w:p>
        </w:tc>
        <w:tc>
          <w:tcPr>
            <w:tcW w:w="8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substantial portion of the cash compensation of our named executive officers, effective January 1, 2025,</w:t>
            </w:r>
          </w:p>
        </w:tc>
      </w:tr>
      <w:tr>
        <w:trPr>
          <w:trHeight w:val="216"/>
        </w:trPr>
        <w:tc>
          <w:tcPr>
            <w:tcW w:w="2900" w:type="dxa"/>
            <w:vAlign w:val="bottom"/>
            <w:shd w:val="clear" w:color="auto" w:fill="CCEEFF"/>
          </w:tcPr>
          <w:p>
            <w:pPr>
              <w:spacing w:after="0"/>
              <w:rPr>
                <w:sz w:val="18"/>
                <w:szCs w:val="18"/>
                <w:color w:val="auto"/>
              </w:rPr>
            </w:pPr>
          </w:p>
        </w:tc>
        <w:tc>
          <w:tcPr>
            <w:tcW w:w="8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the base salaries of our named executive officers were adjusted to market levels as further described</w:t>
            </w:r>
          </w:p>
        </w:tc>
      </w:tr>
      <w:tr>
        <w:trPr>
          <w:trHeight w:val="234"/>
        </w:trPr>
        <w:tc>
          <w:tcPr>
            <w:tcW w:w="2900" w:type="dxa"/>
            <w:vAlign w:val="bottom"/>
            <w:shd w:val="clear" w:color="auto" w:fill="CCEEFF"/>
          </w:tcPr>
          <w:p>
            <w:pPr>
              <w:spacing w:after="0"/>
              <w:rPr>
                <w:sz w:val="20"/>
                <w:szCs w:val="20"/>
                <w:color w:val="auto"/>
              </w:rPr>
            </w:pPr>
          </w:p>
        </w:tc>
        <w:tc>
          <w:tcPr>
            <w:tcW w:w="8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below.</w:t>
            </w:r>
          </w:p>
        </w:tc>
      </w:tr>
      <w:tr>
        <w:trPr>
          <w:trHeight w:val="270"/>
        </w:trPr>
        <w:tc>
          <w:tcPr>
            <w:tcW w:w="2900" w:type="dxa"/>
            <w:vAlign w:val="bottom"/>
            <w:shd w:val="clear" w:color="auto" w:fill="CCEEFF"/>
          </w:tcPr>
          <w:p>
            <w:pPr>
              <w:spacing w:after="0"/>
              <w:rPr>
                <w:sz w:val="23"/>
                <w:szCs w:val="23"/>
                <w:color w:val="auto"/>
              </w:rPr>
            </w:pPr>
          </w:p>
        </w:tc>
        <w:tc>
          <w:tcPr>
            <w:tcW w:w="8340" w:type="dxa"/>
            <w:vAlign w:val="bottom"/>
            <w:shd w:val="clear" w:color="auto" w:fill="CCEEFF"/>
          </w:tcPr>
          <w:p>
            <w:pPr>
              <w:spacing w:after="0"/>
              <w:rPr>
                <w:sz w:val="23"/>
                <w:szCs w:val="23"/>
                <w:color w:val="auto"/>
              </w:rPr>
            </w:pPr>
          </w:p>
        </w:tc>
      </w:tr>
    </w:tbl>
    <w:p>
      <w:pPr>
        <w:spacing w:after="0" w:line="5" w:lineRule="exact"/>
        <w:rPr>
          <w:sz w:val="20"/>
          <w:szCs w:val="20"/>
          <w:color w:val="auto"/>
        </w:rPr>
      </w:pPr>
    </w:p>
    <w:p>
      <w:pPr>
        <w:sectPr>
          <w:pgSz w:w="11900" w:h="16838" w:orient="portrait"/>
          <w:cols w:equalWidth="0" w:num="1">
            <w:col w:w="11240"/>
          </w:cols>
          <w:pgMar w:left="320" w:top="1413" w:right="339" w:bottom="1440" w:gutter="0" w:footer="0" w:header="0"/>
        </w:sectPr>
      </w:pPr>
    </w:p>
    <w:p>
      <w:pPr>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Annual Bonus Plan Provides Formulaic Bonus Payouts Tied to Financial Performance</w:t>
      </w:r>
    </w:p>
    <w:p>
      <w:pPr>
        <w:spacing w:after="0" w:line="20" w:lineRule="exact"/>
        <w:rPr>
          <w:sz w:val="20"/>
          <w:szCs w:val="20"/>
          <w:color w:val="auto"/>
        </w:rPr>
      </w:pPr>
      <w:r>
        <w:rPr>
          <w:sz w:val="20"/>
          <w:szCs w:val="20"/>
          <w:color w:val="auto"/>
        </w:rPr>
        <w:br w:type="column"/>
      </w:r>
    </w:p>
    <w:p>
      <w:pPr>
        <w:ind w:left="326" w:right="20" w:hanging="326"/>
        <w:spacing w:after="0" w:line="282" w:lineRule="auto"/>
        <w:tabs>
          <w:tab w:leader="none" w:pos="3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 payout structure for 2025 remained unchanged from 2024 and aligned with market practices.</w:t>
      </w:r>
    </w:p>
    <w:p>
      <w:pPr>
        <w:spacing w:after="0" w:line="215" w:lineRule="exact"/>
        <w:rPr>
          <w:rFonts w:ascii="Times New Roman" w:cs="Times New Roman" w:eastAsia="Times New Roman" w:hAnsi="Times New Roman"/>
          <w:sz w:val="18"/>
          <w:szCs w:val="18"/>
          <w:color w:val="auto"/>
        </w:rPr>
      </w:pPr>
    </w:p>
    <w:p>
      <w:pPr>
        <w:ind w:left="966" w:hanging="318"/>
        <w:spacing w:after="0"/>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threshold: no bonus payout</w:t>
      </w:r>
    </w:p>
    <w:p>
      <w:pPr>
        <w:spacing w:after="0" w:line="27" w:lineRule="exact"/>
        <w:rPr>
          <w:rFonts w:ascii="Times New Roman" w:cs="Times New Roman" w:eastAsia="Times New Roman" w:hAnsi="Times New Roman"/>
          <w:sz w:val="18"/>
          <w:szCs w:val="18"/>
          <w:color w:val="auto"/>
        </w:rPr>
      </w:pPr>
    </w:p>
    <w:p>
      <w:pPr>
        <w:ind w:left="966" w:hanging="318"/>
        <w:spacing w:after="0"/>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Threshold payout: 50% of target</w:t>
      </w:r>
    </w:p>
    <w:p>
      <w:pPr>
        <w:spacing w:after="0" w:line="9" w:lineRule="exact"/>
        <w:rPr>
          <w:rFonts w:ascii="Times New Roman" w:cs="Times New Roman" w:eastAsia="Times New Roman" w:hAnsi="Times New Roman"/>
          <w:sz w:val="18"/>
          <w:szCs w:val="18"/>
          <w:color w:val="auto"/>
        </w:rPr>
      </w:pPr>
    </w:p>
    <w:p>
      <w:pPr>
        <w:ind w:left="966" w:hanging="318"/>
        <w:spacing w:after="0"/>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payout: 100%</w:t>
      </w:r>
    </w:p>
    <w:p>
      <w:pPr>
        <w:spacing w:after="0" w:line="9" w:lineRule="exact"/>
        <w:rPr>
          <w:rFonts w:ascii="Times New Roman" w:cs="Times New Roman" w:eastAsia="Times New Roman" w:hAnsi="Times New Roman"/>
          <w:sz w:val="18"/>
          <w:szCs w:val="18"/>
          <w:color w:val="auto"/>
        </w:rPr>
      </w:pPr>
    </w:p>
    <w:p>
      <w:pPr>
        <w:ind w:left="966" w:hanging="318"/>
        <w:spacing w:after="0"/>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payout: 200% of target</w:t>
      </w:r>
    </w:p>
    <w:p>
      <w:pPr>
        <w:spacing w:after="0" w:line="44" w:lineRule="exact"/>
        <w:rPr>
          <w:rFonts w:ascii="Times New Roman" w:cs="Times New Roman" w:eastAsia="Times New Roman" w:hAnsi="Times New Roman"/>
          <w:sz w:val="18"/>
          <w:szCs w:val="18"/>
          <w:color w:val="auto"/>
        </w:rPr>
      </w:pPr>
    </w:p>
    <w:p>
      <w:pPr>
        <w:ind w:left="326" w:right="20" w:hanging="326"/>
        <w:spacing w:after="0" w:line="281" w:lineRule="auto"/>
        <w:tabs>
          <w:tab w:leader="none" w:pos="3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annual bonus payouts were based on the achievement of pre-determined threshold, target and maximum Adjusted EBITDA goals (as described below under “Annual Bonus Plan”).</w:t>
      </w:r>
    </w:p>
    <w:p>
      <w:pPr>
        <w:spacing w:after="0" w:line="1" w:lineRule="exact"/>
        <w:rPr>
          <w:sz w:val="20"/>
          <w:szCs w:val="20"/>
          <w:color w:val="auto"/>
        </w:rPr>
      </w:pPr>
    </w:p>
    <w:p>
      <w:pPr>
        <w:sectPr>
          <w:pgSz w:w="11900" w:h="16838" w:orient="portrait"/>
          <w:cols w:equalWidth="0" w:num="2">
            <w:col w:w="3080" w:space="294"/>
            <w:col w:w="7866"/>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84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In light of the expiration of the Retention Plan at the end of 2024 and the resulting elimination of a</w:t>
            </w:r>
          </w:p>
        </w:tc>
      </w:tr>
      <w:tr>
        <w:trPr>
          <w:trHeight w:val="216"/>
        </w:trPr>
        <w:tc>
          <w:tcPr>
            <w:tcW w:w="2840" w:type="dxa"/>
            <w:vAlign w:val="bottom"/>
          </w:tcPr>
          <w:p>
            <w:pPr>
              <w:spacing w:after="0"/>
              <w:rPr>
                <w:sz w:val="18"/>
                <w:szCs w:val="18"/>
                <w:color w:val="auto"/>
              </w:rPr>
            </w:pPr>
          </w:p>
        </w:tc>
        <w:tc>
          <w:tcPr>
            <w:tcW w:w="8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substantial portion of the cash compensation of our named executive officers, target bonus opportunities</w:t>
            </w:r>
          </w:p>
        </w:tc>
      </w:tr>
      <w:tr>
        <w:trPr>
          <w:trHeight w:val="234"/>
        </w:trPr>
        <w:tc>
          <w:tcPr>
            <w:tcW w:w="2840" w:type="dxa"/>
            <w:vAlign w:val="bottom"/>
          </w:tcPr>
          <w:p>
            <w:pPr>
              <w:spacing w:after="0"/>
              <w:rPr>
                <w:sz w:val="20"/>
                <w:szCs w:val="20"/>
                <w:color w:val="auto"/>
              </w:rPr>
            </w:pPr>
          </w:p>
        </w:tc>
        <w:tc>
          <w:tcPr>
            <w:tcW w:w="840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were adjusted to market levels at the end of 2024 for purposes of 2025 annual bonus opportunities.</w:t>
            </w:r>
          </w:p>
        </w:tc>
      </w:tr>
      <w:tr>
        <w:trPr>
          <w:trHeight w:val="270"/>
        </w:trPr>
        <w:tc>
          <w:tcPr>
            <w:tcW w:w="2840" w:type="dxa"/>
            <w:vAlign w:val="bottom"/>
          </w:tcPr>
          <w:p>
            <w:pPr>
              <w:spacing w:after="0"/>
              <w:rPr>
                <w:sz w:val="23"/>
                <w:szCs w:val="23"/>
                <w:color w:val="auto"/>
              </w:rPr>
            </w:pPr>
          </w:p>
        </w:tc>
        <w:tc>
          <w:tcPr>
            <w:tcW w:w="84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Our Chief Executive Officer participates in the same annual bonus plan as other executive officers.</w:t>
            </w:r>
          </w:p>
        </w:tc>
      </w:tr>
      <w:tr>
        <w:trPr>
          <w:trHeight w:val="27"/>
        </w:trPr>
        <w:tc>
          <w:tcPr>
            <w:tcW w:w="2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900" w:type="dxa"/>
            <w:vAlign w:val="bottom"/>
          </w:tcPr>
          <w:p>
            <w:pPr>
              <w:spacing w:after="0"/>
              <w:rPr>
                <w:sz w:val="2"/>
                <w:szCs w:val="2"/>
                <w:color w:val="auto"/>
              </w:rPr>
            </w:pPr>
          </w:p>
        </w:tc>
      </w:tr>
      <w:tr>
        <w:trPr>
          <w:trHeight w:val="22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Equity Incentives</w:t>
            </w:r>
          </w:p>
        </w:tc>
        <w:tc>
          <w:tcPr>
            <w:tcW w:w="84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In February 2022, certain of our named executive officers were granted equity awards in the form of</w:t>
            </w:r>
          </w:p>
        </w:tc>
      </w:tr>
      <w:tr>
        <w:trPr>
          <w:trHeight w:val="234"/>
        </w:trPr>
        <w:tc>
          <w:tcPr>
            <w:tcW w:w="2840" w:type="dxa"/>
            <w:vAlign w:val="bottom"/>
            <w:shd w:val="clear" w:color="auto" w:fill="CCEEFF"/>
          </w:tcPr>
          <w:p>
            <w:pPr>
              <w:spacing w:after="0"/>
              <w:rPr>
                <w:sz w:val="20"/>
                <w:szCs w:val="20"/>
                <w:color w:val="auto"/>
              </w:rPr>
            </w:pPr>
          </w:p>
        </w:tc>
        <w:tc>
          <w:tcPr>
            <w:tcW w:w="840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performance stock units (“2022 PSUs”).</w:t>
            </w:r>
          </w:p>
        </w:tc>
      </w:tr>
      <w:tr>
        <w:trPr>
          <w:trHeight w:val="441"/>
        </w:trPr>
        <w:tc>
          <w:tcPr>
            <w:tcW w:w="2840" w:type="dxa"/>
            <w:vAlign w:val="bottom"/>
            <w:shd w:val="clear" w:color="auto" w:fill="CCEEFF"/>
          </w:tcPr>
          <w:p>
            <w:pPr>
              <w:spacing w:after="0"/>
              <w:rPr>
                <w:sz w:val="24"/>
                <w:szCs w:val="24"/>
                <w:color w:val="auto"/>
              </w:rPr>
            </w:pPr>
          </w:p>
        </w:tc>
        <w:tc>
          <w:tcPr>
            <w:tcW w:w="84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The 2022 PSUs are eligible to vest 25% per year based on the achievement of pre-established</w:t>
            </w:r>
          </w:p>
        </w:tc>
      </w:tr>
      <w:tr>
        <w:trPr>
          <w:trHeight w:val="234"/>
        </w:trPr>
        <w:tc>
          <w:tcPr>
            <w:tcW w:w="28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revenue growth targets.</w:t>
            </w:r>
          </w:p>
        </w:tc>
      </w:tr>
      <w:tr>
        <w:trPr>
          <w:trHeight w:val="418"/>
        </w:trPr>
        <w:tc>
          <w:tcPr>
            <w:tcW w:w="2840" w:type="dxa"/>
            <w:vAlign w:val="bottom"/>
            <w:shd w:val="clear" w:color="auto" w:fill="CCEEFF"/>
          </w:tcPr>
          <w:p>
            <w:pPr>
              <w:spacing w:after="0"/>
              <w:rPr>
                <w:sz w:val="24"/>
                <w:szCs w:val="24"/>
                <w:color w:val="auto"/>
              </w:rPr>
            </w:pPr>
          </w:p>
        </w:tc>
        <w:tc>
          <w:tcPr>
            <w:tcW w:w="840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2025 Performance: The 2022 PSUs eligible to vest based on 2025 performance vested at 100%.</w:t>
            </w:r>
          </w:p>
        </w:tc>
      </w:tr>
      <w:tr>
        <w:trPr>
          <w:trHeight w:val="290"/>
        </w:trPr>
        <w:tc>
          <w:tcPr>
            <w:tcW w:w="2840" w:type="dxa"/>
            <w:vAlign w:val="bottom"/>
            <w:tcBorders>
              <w:top w:val="single" w:sz="8" w:color="CCEEFF"/>
            </w:tcBorders>
            <w:shd w:val="clear" w:color="auto" w:fill="CCEEFF"/>
          </w:tcPr>
          <w:p>
            <w:pPr>
              <w:spacing w:after="0"/>
              <w:rPr>
                <w:sz w:val="24"/>
                <w:szCs w:val="24"/>
                <w:color w:val="auto"/>
              </w:rPr>
            </w:pPr>
          </w:p>
        </w:tc>
        <w:tc>
          <w:tcPr>
            <w:tcW w:w="118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5900" w:type="dxa"/>
            <w:vAlign w:val="bottom"/>
            <w:tcBorders>
              <w:top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2" w:name="page23"/>
    <w:bookmarkEnd w:id="2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360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600450"/>
                    </a:xfrm>
                    <a:prstGeom prst="rect">
                      <a:avLst/>
                    </a:prstGeom>
                    <a:noFill/>
                  </pic:spPr>
                </pic:pic>
              </a:graphicData>
            </a:graphic>
          </wp:anchor>
        </w:drawing>
      </w:r>
    </w:p>
    <w:p>
      <w:pPr>
        <w:jc w:val="both"/>
        <w:ind w:left="3680" w:hanging="323"/>
        <w:spacing w:after="0" w:line="266" w:lineRule="auto"/>
        <w:tabs>
          <w:tab w:leader="none" w:pos="3660" w:val="left"/>
        </w:tabs>
        <w:rPr>
          <w:sz w:val="20"/>
          <w:szCs w:val="20"/>
          <w:color w:val="auto"/>
        </w:rPr>
      </w:pPr>
      <w:r>
        <w:rPr>
          <w:rFonts w:ascii="Times New Roman" w:cs="Times New Roman" w:eastAsia="Times New Roman" w:hAnsi="Times New Roman"/>
          <w:sz w:val="18"/>
          <w:szCs w:val="18"/>
          <w:color w:val="auto"/>
        </w:rPr>
        <w:t>•</w:t>
        <w:tab/>
        <w:t>In light of the expiration of the Retention Plan, new equity awards were granted to our executive officers in December 2024, with such equity awards granted 66% in the form of performance stock units (“2024 PSUs”) and 33% in the form of time-based restricted stock units (“RSUs”) (“2024 RSUs”).</w:t>
      </w:r>
    </w:p>
    <w:p>
      <w:pPr>
        <w:spacing w:after="0" w:line="199" w:lineRule="exact"/>
        <w:rPr>
          <w:sz w:val="20"/>
          <w:szCs w:val="20"/>
          <w:color w:val="auto"/>
        </w:rPr>
      </w:pPr>
    </w:p>
    <w:p>
      <w:pPr>
        <w:jc w:val="both"/>
        <w:ind w:left="4000" w:hanging="16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2024 PSUs are eligible to vest 33.3% per year based on the achievement of pre-established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revenue growth rate targets (“2024 Annual Revenue Growth Rate PSUs”), Adjusted EBITDA targets (“2024 Adjusted EBITDA PSUs”), and annual total shareholder return (TSR) targets (“2024 TSR PSUs”). For purposes of the 2024 Adjusted EBITDA PSUs, Adjusted EBITDA is defined as described below under “Annual Bonus Plan”.</w:t>
      </w:r>
    </w:p>
    <w:p>
      <w:pPr>
        <w:spacing w:after="0" w:line="210" w:lineRule="exact"/>
        <w:rPr>
          <w:sz w:val="20"/>
          <w:szCs w:val="20"/>
          <w:color w:val="auto"/>
        </w:rPr>
      </w:pPr>
    </w:p>
    <w:p>
      <w:pPr>
        <w:jc w:val="both"/>
        <w:ind w:left="4000" w:hanging="161"/>
        <w:spacing w:after="0" w:line="266" w:lineRule="auto"/>
        <w:rPr>
          <w:sz w:val="20"/>
          <w:szCs w:val="20"/>
          <w:color w:val="auto"/>
        </w:rPr>
      </w:pPr>
      <w:r>
        <w:rPr>
          <w:rFonts w:ascii="Times New Roman" w:cs="Times New Roman" w:eastAsia="Times New Roman" w:hAnsi="Times New Roman"/>
          <w:sz w:val="18"/>
          <w:szCs w:val="18"/>
          <w:color w:val="auto"/>
        </w:rPr>
        <w:t>◦ The 2024 RSUs vest in substantially equal quarterly installments over the three-year period commencing on or about the grant date, subject to executive’s continued service on the applicable vesting date.</w:t>
      </w:r>
    </w:p>
    <w:p>
      <w:pPr>
        <w:spacing w:after="0" w:line="25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2025 Performance:</w:t>
      </w:r>
      <w:r>
        <w:rPr>
          <w:rFonts w:ascii="Times New Roman" w:cs="Times New Roman" w:eastAsia="Times New Roman" w:hAnsi="Times New Roman"/>
          <w:sz w:val="18"/>
          <w:szCs w:val="18"/>
          <w:color w:val="auto"/>
        </w:rPr>
        <w:t xml:space="preserve"> The 2024 PSUs eligible to vest based on 2025 performance vested as follows:</w:t>
      </w:r>
    </w:p>
    <w:p>
      <w:pPr>
        <w:spacing w:after="0" w:line="252" w:lineRule="exact"/>
        <w:rPr>
          <w:sz w:val="20"/>
          <w:szCs w:val="20"/>
          <w:color w:val="auto"/>
        </w:rPr>
      </w:pPr>
    </w:p>
    <w:p>
      <w:pPr>
        <w:jc w:val="both"/>
        <w:ind w:left="4660" w:hanging="161"/>
        <w:spacing w:after="0" w:line="266" w:lineRule="auto"/>
        <w:rPr>
          <w:sz w:val="20"/>
          <w:szCs w:val="20"/>
          <w:color w:val="auto"/>
        </w:rPr>
      </w:pPr>
      <w:r>
        <w:rPr>
          <w:rFonts w:ascii="Times New Roman" w:cs="Times New Roman" w:eastAsia="Times New Roman" w:hAnsi="Times New Roman"/>
          <w:sz w:val="18"/>
          <w:szCs w:val="18"/>
          <w:color w:val="auto"/>
        </w:rPr>
        <w:t>▪ For 2025, based on our revenue growth performance and Adjusted EBITDA performance, the 2024 Annual Revenue Growth PSUs and 2024 Adjusted EBITDA PSUs eligible to vest based on 2025 performance vested at 100%.</w:t>
      </w:r>
    </w:p>
    <w:p>
      <w:pPr>
        <w:spacing w:after="0" w:line="203" w:lineRule="exact"/>
        <w:rPr>
          <w:sz w:val="20"/>
          <w:szCs w:val="20"/>
          <w:color w:val="auto"/>
        </w:rPr>
      </w:pPr>
    </w:p>
    <w:p>
      <w:pPr>
        <w:jc w:val="both"/>
        <w:ind w:left="4660" w:hanging="161"/>
        <w:spacing w:after="0" w:line="282" w:lineRule="auto"/>
        <w:rPr>
          <w:sz w:val="20"/>
          <w:szCs w:val="20"/>
          <w:color w:val="auto"/>
        </w:rPr>
      </w:pPr>
      <w:r>
        <w:rPr>
          <w:rFonts w:ascii="Times New Roman" w:cs="Times New Roman" w:eastAsia="Times New Roman" w:hAnsi="Times New Roman"/>
          <w:sz w:val="18"/>
          <w:szCs w:val="18"/>
          <w:color w:val="auto"/>
        </w:rPr>
        <w:t>▪ For 2025, based on our TSR performance, the 2024 TSR PSUs eligible to vest based on 2025 performance were forfeited.</w:t>
      </w:r>
    </w:p>
    <w:p>
      <w:pPr>
        <w:spacing w:after="0" w:line="189" w:lineRule="exact"/>
        <w:rPr>
          <w:sz w:val="20"/>
          <w:szCs w:val="20"/>
          <w:color w:val="auto"/>
        </w:rPr>
      </w:pPr>
    </w:p>
    <w:p>
      <w:pPr>
        <w:ind w:left="3360"/>
        <w:spacing w:after="0"/>
        <w:tabs>
          <w:tab w:leader="none" w:pos="3660" w:val="left"/>
        </w:tabs>
        <w:rPr>
          <w:sz w:val="20"/>
          <w:szCs w:val="20"/>
          <w:color w:val="auto"/>
        </w:rPr>
      </w:pPr>
      <w:r>
        <w:rPr>
          <w:rFonts w:ascii="Times New Roman" w:cs="Times New Roman" w:eastAsia="Times New Roman" w:hAnsi="Times New Roman"/>
          <w:sz w:val="18"/>
          <w:szCs w:val="18"/>
          <w:color w:val="auto"/>
        </w:rPr>
        <w:t>•</w:t>
        <w:tab/>
        <w:t>No new equity grants were made to our named executive officers in 2025 other than a PSU and RSU</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award to Uri Rubin, as described further below under “Equity Compensation”</w:t>
      </w:r>
    </w:p>
    <w:p>
      <w:pPr>
        <w:sectPr>
          <w:pgSz w:w="11900" w:h="16838" w:orient="portrait"/>
          <w:cols w:equalWidth="0" w:num="1">
            <w:col w:w="11200"/>
          </w:cols>
          <w:pgMar w:left="340" w:top="1440" w:right="359" w:bottom="1440" w:gutter="0" w:footer="0" w:header="0"/>
        </w:sectPr>
      </w:pPr>
    </w:p>
    <w:p>
      <w:pPr>
        <w:spacing w:after="0" w:line="4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Maintain Executive Officer Stock Ownership Guidelines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hanging="323"/>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During 2025, we continued to maintain robust stock ownership guidelines that apply to our named executive officers:</w:t>
      </w:r>
    </w:p>
    <w:p>
      <w:pPr>
        <w:spacing w:after="0" w:line="188" w:lineRule="exact"/>
        <w:rPr>
          <w:sz w:val="20"/>
          <w:szCs w:val="20"/>
          <w:color w:val="auto"/>
        </w:rPr>
      </w:pPr>
    </w:p>
    <w:p>
      <w:pPr>
        <w:sectPr>
          <w:pgSz w:w="11900" w:h="16838" w:orient="portrait"/>
          <w:cols w:equalWidth="0" w:num="2">
            <w:col w:w="2960" w:space="720"/>
            <w:col w:w="7520"/>
          </w:cols>
          <w:pgMar w:left="340" w:top="1440" w:right="359" w:bottom="1440" w:gutter="0" w:footer="0" w:header="0"/>
          <w:type w:val="continuous"/>
        </w:sectPr>
      </w:pPr>
    </w:p>
    <w:p>
      <w:pPr>
        <w:ind w:left="3840"/>
        <w:spacing w:after="0"/>
        <w:rPr>
          <w:sz w:val="20"/>
          <w:szCs w:val="20"/>
          <w:color w:val="auto"/>
        </w:rPr>
      </w:pPr>
      <w:r>
        <w:rPr>
          <w:rFonts w:ascii="Times New Roman" w:cs="Times New Roman" w:eastAsia="Times New Roman" w:hAnsi="Times New Roman"/>
          <w:sz w:val="18"/>
          <w:szCs w:val="18"/>
          <w:color w:val="auto"/>
        </w:rPr>
        <w:t>◦ CEO: 6x base salary</w:t>
      </w:r>
    </w:p>
    <w:p>
      <w:pPr>
        <w:spacing w:after="0" w:line="2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 Other executive officers: 3x base salary</w:t>
      </w:r>
    </w:p>
    <w:p>
      <w:pPr>
        <w:sectPr>
          <w:pgSz w:w="11900" w:h="16838" w:orient="portrait"/>
          <w:cols w:equalWidth="0" w:num="1">
            <w:col w:w="11200"/>
          </w:cols>
          <w:pgMar w:left="340" w:top="1440" w:right="359" w:bottom="1440" w:gutter="0" w:footer="0" w:header="0"/>
          <w:type w:val="continuous"/>
        </w:sectPr>
      </w:pPr>
    </w:p>
    <w:p>
      <w:pPr>
        <w:spacing w:after="0" w:line="252" w:lineRule="exact"/>
        <w:rPr>
          <w:sz w:val="20"/>
          <w:szCs w:val="20"/>
          <w:color w:val="auto"/>
        </w:rPr>
      </w:pPr>
    </w:p>
    <w:p>
      <w:pPr>
        <w:jc w:val="both"/>
        <w:ind w:left="3360"/>
        <w:spacing w:after="0" w:line="256" w:lineRule="auto"/>
        <w:rPr>
          <w:sz w:val="20"/>
          <w:szCs w:val="20"/>
          <w:color w:val="auto"/>
        </w:rPr>
      </w:pPr>
      <w:r>
        <w:rPr>
          <w:rFonts w:ascii="Times New Roman" w:cs="Times New Roman" w:eastAsia="Times New Roman" w:hAnsi="Times New Roman"/>
          <w:sz w:val="18"/>
          <w:szCs w:val="18"/>
          <w:color w:val="auto"/>
        </w:rPr>
        <w:t>Each executive officer must achieve ownership of the required market value of shares within three years of becoming subject to the guidelines. Common stock, common stock beneficially owned by the officer and RSUs count towards the requirement, but shares the officer has a right to acquire through exercising stock options (whether or not vested) are not counted. In addition, unearned performance-based awards are not counted as ownership for purposes of measuring compliance with the guidelines. All of our executive officers are in compliance with these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for us to be successful, we must hire and retain people who can continue to develop our strategy and innovate our products and services. To achieve these objectives, our executive compensation program has been designed to motivate, reward, attract and retain high caliber management and seeks to align compensation with our short- and long-term business objectives, business strategy and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programs for our named executive officers are built to support the following objectives:</w:t>
      </w:r>
    </w:p>
    <w:p>
      <w:pPr>
        <w:spacing w:after="0" w:line="25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top talent in our leadership positions and motivate our executives to deliver the highest level of individual and team impact and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each one of our named executive officers receives a total compensation package that encourages the executive’s long-term retention;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high levels of performance with commensurate levels of compensation;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 by emphasizing long-term incentives.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Role of the Compensation Committee</w:t>
      </w:r>
      <w:r>
        <w:rPr>
          <w:rFonts w:ascii="Times New Roman" w:cs="Times New Roman" w:eastAsia="Times New Roman" w:hAnsi="Times New Roman"/>
          <w:sz w:val="18"/>
          <w:szCs w:val="18"/>
          <w:color w:val="auto"/>
        </w:rPr>
        <w:t>. The Compensation Committee is responsible for overseeing all aspects of our executive compensation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executive salaries, annual and long-term incentives and any executive perquisites for our named executive officers. The Compensation Committee considers such factors as it determines are appropriate in setting executive compensation, including the recommendations of our Chief Executive Officer (other than with respect to himself), current and past total compensation, company performance and each executive’s impact on performance, each executive’s relative scope of responsibility and potential, each executive’s individual performance and demonstrated leadership and internal equity pay considerations.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Role of Compensation Consultant</w:t>
      </w:r>
      <w:r>
        <w:rPr>
          <w:rFonts w:ascii="Times New Roman" w:cs="Times New Roman" w:eastAsia="Times New Roman" w:hAnsi="Times New Roman"/>
          <w:sz w:val="18"/>
          <w:szCs w:val="18"/>
          <w:color w:val="auto"/>
        </w:rPr>
        <w:t>. The Compensation Committee has the authority to engage its own advisors to assist in carrying out its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Compensation Committee has retained Pearl Meyer as its independent compensation consultant since 2021, and continued to retain Pearl Meyer throughout 2025. Pearl Meyer reports directly to the Compensation Committee. Pearl Meyer also communicates with management to gather information and review management proposals as needed. Pearl Meyer’s responsibilities include:</w:t>
      </w:r>
    </w:p>
    <w:p>
      <w:pPr>
        <w:spacing w:after="0" w:line="209"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advising on executive compensation program design and policies, including the performance measures to be used under the executive compensation program and goal setting</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executive compensation philosophy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analysis and recommendations regarding the composition and selection of our peer group companies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executive compensation proxy and survey pay benchmarking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peer group annual and long-term incentive plan design practices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peer group equity dilution and burn rate practices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Compensation Committee with executive compensation and governance trends, best practices, and proxy advisory policy updates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on other related programs such as stock ownership guidelines, severance, change-in-control severance, clawback policies,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than advising the Compensation Committee as described above, Pearl Meyer did not provide any services to the Company in 2025. The Compensation Committee has sole authority to hire, fire and set the terms of engagement with Pearl Meyer. The Compensation Committee assessed the independence of Pearl Meyer, and each other adviser and outside legal counsel that provide advice to the Compensation Committee, pursuant to applicable rules and regulations of the SEC and the Nasdaq Stock Market and concluded that Pearl Meyer and such other advisers are independent. Further, pursuant to SEC rules, the Compensation Committee conducted a conflicts of interest assessment and determined that there is no conflict of interest resulting from retaining Pearl Meyer. The Compensation Committee intends to reassess the independence of its advisers at least annually.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Role of Management. </w:t>
      </w:r>
      <w:r>
        <w:rPr>
          <w:rFonts w:ascii="Times New Roman" w:cs="Times New Roman" w:eastAsia="Times New Roman" w:hAnsi="Times New Roman"/>
          <w:sz w:val="18"/>
          <w:szCs w:val="18"/>
          <w:color w:val="auto"/>
        </w:rPr>
        <w:t>In setting compensation for 2025, our Chief Executive Officer worked closely with the Compensation Committee in managing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compensation program. Our Chief Executive Officer made recommendations to the Board regarding compensation for our executive officers other than himself because of his daily involvement with our executive team. No executive officer participated directly in the final deliberations or determinations regarding his or her own compensation package.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Competitive Positioning</w:t>
      </w:r>
      <w:r>
        <w:rPr>
          <w:rFonts w:ascii="Times New Roman" w:cs="Times New Roman" w:eastAsia="Times New Roman" w:hAnsi="Times New Roman"/>
          <w:sz w:val="18"/>
          <w:szCs w:val="18"/>
          <w:color w:val="auto"/>
        </w:rPr>
        <w:t>. The Compensation Committee reviews our peer group periodically to reflect changes in market capitalization and other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acquisitions. Pearl Meyer assists the Compensation Committee in identifying an appropriate peer group of companies for use as a reference when determining director and executive compensation. The Company’s original peer group was selected in January 2022 based on factors such as market capitalization, revenue, enterprise value, total employees, industry, geographic location and utilization as Company peers by proxy advisory firms, and not on the basis of executive compensation levels.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and September 2025, the Compensation Committee reviewed the Company’s peer group with Pearl Meyer and, with the support of Pearl Meyer, made the following modifications to the peer group that had previously been established for 2024 compensation decisions: (i) removed AppLovin Corporation, CyberArk Software Ltd., Pinterest, Inc. and Xperi Holding, and (ii) added Bally’s Corporation, Bumble Inc., FuboTV Inc., Hasbro, Inc., Rush Street Interactive, Inc., Taboola.com Ltd. and Yelp Inc. AppLovin Corporation, CyberArk Software Ltd., Pinterest, Inc. and Xperi Holding were deemed to no longer be appropriate peer companies primarily due to market capitalization and revenue. Bally’s Corporation, Bumble Inc., FuboTV Inc., Hasbro, Inc., Rush Street Interactive, Inc., Taboola.com Ltd. and Yelp Inc. were added primarily based on factors including market capitalization, revenue, enterprise value, total employees, industry, geographic location and utilization as Company peers by proxy advisory firms. The resulting peer group consists of the following companies:</w:t>
      </w:r>
    </w:p>
    <w:p>
      <w:pPr>
        <w:spacing w:after="0" w:line="259" w:lineRule="exact"/>
        <w:rPr>
          <w:sz w:val="20"/>
          <w:szCs w:val="20"/>
          <w:color w:val="auto"/>
        </w:rPr>
      </w:pPr>
    </w:p>
    <w:tbl>
      <w:tblPr>
        <w:tblLayout w:type="fixed"/>
        <w:tblInd w:w="2040" w:type="dxa"/>
        <w:tblCellMar>
          <w:top w:w="0" w:type="dxa"/>
          <w:left w:w="0" w:type="dxa"/>
          <w:bottom w:w="0" w:type="dxa"/>
          <w:right w:w="0" w:type="dxa"/>
        </w:tblCellMar>
      </w:tblPr>
      <w:tr>
        <w:trPr>
          <w:trHeight w:val="230"/>
        </w:trPr>
        <w:tc>
          <w:tcPr>
            <w:tcW w:w="33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rPr>
              <w:t>AMC Networks Inc.</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Light &amp; Wonder, Inc.</w:t>
            </w:r>
          </w:p>
        </w:tc>
      </w:tr>
      <w:tr>
        <w:trPr>
          <w:trHeight w:val="230"/>
        </w:trPr>
        <w:tc>
          <w:tcPr>
            <w:tcW w:w="33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8"/>
              </w:rPr>
              <w:t>Bally’s Corporation</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Match Group, Inc.</w:t>
            </w:r>
          </w:p>
        </w:tc>
      </w:tr>
      <w:tr>
        <w:trPr>
          <w:trHeight w:val="229"/>
        </w:trPr>
        <w:tc>
          <w:tcPr>
            <w:tcW w:w="33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8"/>
              </w:rPr>
              <w:t>Bumble Inc.</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7"/>
              </w:rPr>
              <w:t>Roku, Inc.</w:t>
            </w:r>
          </w:p>
        </w:tc>
      </w:tr>
      <w:tr>
        <w:trPr>
          <w:trHeight w:val="230"/>
        </w:trPr>
        <w:tc>
          <w:tcPr>
            <w:tcW w:w="33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9"/>
              </w:rPr>
              <w:t>DraftKings Inc.</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Rush Street Interactive, Inc.</w:t>
            </w:r>
          </w:p>
        </w:tc>
      </w:tr>
      <w:tr>
        <w:trPr>
          <w:trHeight w:val="230"/>
        </w:trPr>
        <w:tc>
          <w:tcPr>
            <w:tcW w:w="33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Electronic Arts Inc.</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Taboola.com Ltd.</w:t>
            </w:r>
          </w:p>
        </w:tc>
      </w:tr>
      <w:tr>
        <w:trPr>
          <w:trHeight w:val="230"/>
        </w:trPr>
        <w:tc>
          <w:tcPr>
            <w:tcW w:w="33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8"/>
              </w:rPr>
              <w:t>FuboTV Inc.</w:t>
            </w:r>
          </w:p>
        </w:tc>
        <w:tc>
          <w:tcPr>
            <w:tcW w:w="43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9"/>
              </w:rPr>
              <w:t>Take-Two Interactive Software, Inc.</w:t>
            </w:r>
          </w:p>
        </w:tc>
      </w:tr>
      <w:tr>
        <w:trPr>
          <w:trHeight w:val="229"/>
        </w:trPr>
        <w:tc>
          <w:tcPr>
            <w:tcW w:w="332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9"/>
              </w:rPr>
              <w:t>Hasbro, Inc.</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Yelp Inc.</w:t>
            </w:r>
          </w:p>
        </w:tc>
      </w:tr>
      <w:tr>
        <w:trPr>
          <w:trHeight w:val="234"/>
        </w:trPr>
        <w:tc>
          <w:tcPr>
            <w:tcW w:w="332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IAC/InterActiveCorp</w:t>
            </w:r>
          </w:p>
        </w:tc>
        <w:tc>
          <w:tcPr>
            <w:tcW w:w="4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Ziff Davis, Inc.</w:t>
            </w: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Compensation Committee periodically reviews the foregoing comparable company data in connection with its ongoing analysis of the compensation program for our named executive officers. The Compensation Committee does not rely entirely on that data to determine named executive officer compensation. Instead, as described above and consistent with past practice, the Compensation Committee members rely on their judgment and experience in setting those compensation levels and making those awards. As a result, variations on this pay positioning occur from year to year. For 2025, the Compensation Committee redesigned the executive compensation program to account for the expiration of the Retention Plan in 2024 which previously accounted for a large portion of our named executive officers’ total compensation. With respect to the compensation decisions taken in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regarding 2025 compensation for the named executive officers, the Compensation Committee intended to set target total cash compensation generally around the 75th percentile of the peer group and total direct compensation which also includes annualized long-term incentive equity grants generally between the 50th and 75th percentiles of the peer group.</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the Compensation Committee will continue to review comparable company data from time to time in connection with setting the compensation we offer our named executive officers to help ensure that our compensation programs are competitive and fair.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Our Executive Compensation Program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elements of our named executive officers’ compensation and the main objectives of each are:</w:t>
      </w:r>
    </w:p>
    <w:p>
      <w:pPr>
        <w:spacing w:after="0" w:line="25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attracts and retains talented executives, recognizes individual roles and responsibilities and provides stable income;</w:t>
      </w:r>
    </w:p>
    <w:p>
      <w:pPr>
        <w:spacing w:after="0" w:line="252"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Bonus Plan: </w:t>
      </w:r>
      <w:r>
        <w:rPr>
          <w:rFonts w:ascii="Times New Roman" w:cs="Times New Roman" w:eastAsia="Times New Roman" w:hAnsi="Times New Roman"/>
          <w:sz w:val="18"/>
          <w:szCs w:val="18"/>
          <w:color w:val="auto"/>
        </w:rPr>
        <w:t>Annual performance bonuses help to incentivize executives to work towards key corporate performance objectives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Equity-Based Long-Term Incentive Compensation: </w:t>
      </w:r>
      <w:r>
        <w:rPr>
          <w:rFonts w:ascii="Times New Roman" w:cs="Times New Roman" w:eastAsia="Times New Roman" w:hAnsi="Times New Roman"/>
          <w:sz w:val="18"/>
          <w:szCs w:val="18"/>
          <w:color w:val="auto"/>
        </w:rPr>
        <w:t>Equity compensation, provided in the form of stock options, RSUs and PSUs, aligns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interests with our stockholders’ interests, emphasizes long-term financial performance and helps retain executive talent; and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Benefits and Perquisites: </w:t>
      </w:r>
      <w:r>
        <w:rPr>
          <w:rFonts w:ascii="Times New Roman" w:cs="Times New Roman" w:eastAsia="Times New Roman" w:hAnsi="Times New Roman"/>
          <w:sz w:val="18"/>
          <w:szCs w:val="18"/>
          <w:color w:val="auto"/>
        </w:rPr>
        <w:t>Our named executive officers are eligible to participate in our health and welfare programs and our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Our Israel-based named executive officers also receive other customary or mandatory social benefits in Israel on the same basis as our other full-time Israel-based employees.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these elements of compensation is described further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 salary is a stable fixed component of our compensation program. Our executive compensation program emphasizes performance-based and retention-based compensation over fixed compensation, and our executive base salaries have been historically set at levels that are relatively low compared to comparable companies given the cash compensation potential provided by the Retention Plan. In light of the expiration of the Retention Plan at the end of 2024 and the resulting elimination of a substantial portion of the cash compensation of our named executive officers, in December 2024, the Compensation Committee re-evaluated the base salaries of our named executive officers (together with the other components of their compensation). The Compensation Committee noted that our named executive officers’ base salaries were well below the median of our peer group, with our chief executive officer having agreed to a significant voluntary reduction of his salary for prior years, and determined, after consultation with Pearl Meyer, to adjust the base salaries of our named executive officers to market levels, effective as of January 1, 2025 as follows (except as otherwise noted for Mr. Rubin):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000" w:type="dxa"/>
            <w:vAlign w:val="bottom"/>
            <w:tcBorders>
              <w:bottom w:val="single" w:sz="8" w:color="auto"/>
            </w:tcBorders>
          </w:tcPr>
          <w:p>
            <w:pPr>
              <w:spacing w:after="0"/>
              <w:rPr>
                <w:sz w:val="20"/>
                <w:szCs w:val="20"/>
                <w:color w:val="auto"/>
              </w:rPr>
            </w:pPr>
          </w:p>
        </w:tc>
      </w:tr>
      <w:tr>
        <w:trPr>
          <w:trHeight w:val="223"/>
        </w:trPr>
        <w:tc>
          <w:tcPr>
            <w:tcW w:w="802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Uri Rubin</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500" w:hanging="492"/>
        <w:spacing w:after="0" w:line="239" w:lineRule="auto"/>
        <w:tabs>
          <w:tab w:leader="none" w:pos="2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December 2024, the Compensation Committee increased Mr. Rubin’s base salary from $227,971 to $400,000 in connection with the redesign of the Company’s executive compensation program to account for the expiration of the Retention Plan in 2024. In May 2025, the Compensation Committee further increased Mr. Rubin’s base salary from $400,000 to $475,000 after a review of relevant market benchmarks and a recognition of an expansion of his responsibilities.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base salary amounts for Messrs. Antokol, Korczak and Rubin reflect the base salaries that were approved by the Compensation Committee in U.S. Dollars. However, their salaries are actually paid in NIS and were converted to NIS on the original approval date using the exchange rate in effect on the approval date for purposes of determining their fixed monthly salary amounts in NIS. The exchange rate on the original approval date, and on the approval date of Mr. Rubin’s increased base salary, was NIS 3.59 : USD $1.</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2026, the Compensation Committee reviewed executive officer base salaries and relevant peer company and market data. The Compensation Committee determined not to make adjustments to the base salaries of the named executive officers for 2026. Our named executive officers’ 2026 base salaries are set forth below. The base salary amounts for Messrs. Antokol, Korczak and Rubin, who are paid in NIS, appear higher in the table below due to the conversion of the fixed monthly NIS salaries back to USD based on the exchange rate in effect on the determination date in February 2026 which fluctuated from the exchange rate in effect on the prior approval dates as described above. The exchange rate on the determination date in February 2026 was NIS 3.14 : USD $1. The current monthly salary amounts in NIS for Messrs. Antokol, Korczak and Rubin are unchanged from their latest 2025 salary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000" w:type="dxa"/>
            <w:vAlign w:val="bottom"/>
            <w:tcBorders>
              <w:bottom w:val="single" w:sz="8" w:color="auto"/>
            </w:tcBorders>
          </w:tcPr>
          <w:p>
            <w:pPr>
              <w:spacing w:after="0"/>
              <w:rPr>
                <w:sz w:val="20"/>
                <w:szCs w:val="20"/>
                <w:color w:val="auto"/>
              </w:rPr>
            </w:pPr>
          </w:p>
        </w:tc>
      </w:tr>
      <w:tr>
        <w:trPr>
          <w:trHeight w:val="223"/>
        </w:trPr>
        <w:tc>
          <w:tcPr>
            <w:tcW w:w="802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2,291,961</w:t>
            </w:r>
          </w:p>
        </w:tc>
      </w:tr>
      <w:tr>
        <w:trPr>
          <w:trHeight w:val="229"/>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Craig Abrahams</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578,778</w:t>
            </w: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Uri Rubin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547,717</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2"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Abrahams resigned from the Company effective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 Plan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adopted a bonus plan for 2025 pursuant to which annual bonuses will be paid to our named executive officers, based on a pool that is established by the Board upon consideration of “Adjusted EBITDA” for 2025 and the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executive officers’ target annual bonus opportunities. The annual bonus pool is determined by the Compensation Committee based on our results for the applicable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as used herein, is a non-GAAP financial measure which is defined and calculated in a manner consistent with the Company’s credit agreement. Based on the Company’s current credit agreements, Adjusted EBITDA is defined as net income before (1) interest expense, (2) interest income,</w:t>
      </w:r>
    </w:p>
    <w:p>
      <w:pPr>
        <w:jc w:val="both"/>
        <w:ind w:firstLine="8"/>
        <w:spacing w:after="0" w:line="255" w:lineRule="auto"/>
        <w:tabs>
          <w:tab w:leader="none" w:pos="3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(4) depreciation and amortization expense, (5) stock-based compensation, (6) impairment charges, (7) contingent consideration, (8) acquisition and related expenses, and (9) certain other items. For a reconciliation of Adjusted EBITDA to net income, please see Appendix A.</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Committee established threshold, target and maximum achievement levels relative to Adjusted EBITDA for 2025, which would result in a corresponding annual bonus payout to the named executive officers. Our “target” 2025 Adjusted EBITDA was set at $741,825,785. Our “threshold” 2025 Adjusted EBITDA was set at 90% of “target” and our “maximum” 2025 Adjusted EBITDA objective was set at 110% of target. Straight-line interpolation is used to calculate payouts associated with actual results falling between goals and no payout is earned if actual results fall below the threshold level of performance.</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2025, our named executive officers’ threshold, target and maximum annual bonus opportunities corresponding to the foregoing Adjusted EBITDA threshold, target and maximum objectives are reflected in the table below. In light of the expiration of the Retention Plan at the end of 2024 and the resulting redesign of our compensation program for our named executive officers, the Compensation Committee determined, after consultation with Pearl Meyer, to adjust the target bonuses of our named executive officers for 2025 as follows: Mr. Antokol’s target bonus decreased from $3,500,000 to $1,980,000, Mr. Abrahams’ target bonus decreased from $2,000,000 to $1,150,000, Mr. Cohen’s target bonus decreased from $1,100,000 to $875,000, Mr. Korczak’s target bonus increased from $490,000 to $500,000, and Mr. Rubin’s target bonus increased from $115,702 to $400,000. Mr. Rubin’s target bonus was further increased in May 2025 from $400,000 to $475,000 after a review of relevant market benchmarks and a recognition of an expansion of his responsibilities. The target bonus of $443,750 for Mr. Rubin below reflects a prorated bonus target to reflect the mid-year increase.</w:t>
      </w:r>
    </w:p>
    <w:tbl>
      <w:tblPr>
        <w:tblLayout w:type="fixed"/>
        <w:tblInd w:w="0" w:type="dxa"/>
        <w:tblCellMar>
          <w:top w:w="0" w:type="dxa"/>
          <w:left w:w="0" w:type="dxa"/>
          <w:bottom w:w="0" w:type="dxa"/>
          <w:right w:w="0" w:type="dxa"/>
        </w:tblCellMar>
      </w:tblPr>
      <w:tr>
        <w:trPr>
          <w:trHeight w:val="196"/>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Threshold Bonus</w:t>
            </w:r>
          </w:p>
        </w:tc>
        <w:tc>
          <w:tcPr>
            <w:tcW w:w="16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w w:val="96"/>
              </w:rPr>
              <w:t>Target</w:t>
            </w:r>
          </w:p>
        </w:tc>
        <w:tc>
          <w:tcPr>
            <w:tcW w:w="156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43"/>
        </w:trPr>
        <w:tc>
          <w:tcPr>
            <w:tcW w:w="6360" w:type="dxa"/>
            <w:vAlign w:val="bottom"/>
            <w:gridSpan w:val="2"/>
            <w:vMerge w:val="continue"/>
          </w:tcPr>
          <w:p>
            <w:pPr>
              <w:spacing w:after="0"/>
              <w:rPr>
                <w:sz w:val="21"/>
                <w:szCs w:val="21"/>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3,960,000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Uri Rubin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2025 Adjusted EBITDA was $753,227,000, or 101.54% of our “target” Adjusted EBITDA. Based on our 2025 Adjusted EBITDA, each named executive officer received a 2025 annual bonus payout equal to approximately 115.37% of his target bonus, which was calculated based on straight-line interpolation between the “target” and “maximum” 2025 Adjusted EBITDA objectives. Accordingly, in February 2026, our Compensation Committee approved the following 2025 bonuses to our named executive officers: Mr. Antokol, $2,284,330; Mr. Abrahams, $1,326,757; Mr. Cohen, $1,009,489; Mr. Korczak, $576,851; and Mr. Rubin, $511,955.</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and March 2026, the Compensation Committee reviewed executive officer target bonuses and relevant peer company and market data. The Compensation Committee determined not to make adjustments to the target bonuses of the named executive officers for 2026. For 2026, our named executive officers’ threshold, target and maximum annual bonus opportunities are set forth below. The target bonus amounts for Messrs. Antokol, Korczak and Rubin, who are paid in NIS, appear higher in the table below due to the conversion of such amounts from NIS to USD based on the exchange rate in effect on the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Threshold Bonus</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43"/>
        </w:trPr>
        <w:tc>
          <w:tcPr>
            <w:tcW w:w="6360" w:type="dxa"/>
            <w:vAlign w:val="bottom"/>
            <w:gridSpan w:val="2"/>
            <w:vMerge w:val="continue"/>
          </w:tcPr>
          <w:p>
            <w:pPr>
              <w:spacing w:after="0"/>
              <w:rPr>
                <w:sz w:val="21"/>
                <w:szCs w:val="21"/>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15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Bonus ($)</w:t>
            </w:r>
          </w:p>
        </w:tc>
        <w:tc>
          <w:tcPr>
            <w:tcW w:w="0" w:type="dxa"/>
            <w:vAlign w:val="bottom"/>
          </w:tcPr>
          <w:p>
            <w:pPr>
              <w:spacing w:after="0"/>
              <w:rPr>
                <w:sz w:val="1"/>
                <w:szCs w:val="1"/>
                <w:color w:val="auto"/>
              </w:rPr>
            </w:pPr>
          </w:p>
        </w:tc>
      </w:tr>
      <w:tr>
        <w:trPr>
          <w:trHeight w:val="223"/>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4,534,000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Craig Abrahams </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1,145,000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Uri Rubin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8"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Abrahams resigned from the Company effective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view equity-based compensation as a critical component of our balanced total compensation program going forward as a public company. Equity-based compensation creates an ownership culture among our employees that provides an incentive to contribute to the continued growth and development of our business and aligns the interests of executives with those of our stockholders. Accordingly, the Board, and the Compensation Committee, from time to time may grant equity incentive awards covering shares of our common stock to our named executive officers and will review their equity incentive compensation going forward. With the expiration of the Playtika Holding Corp. 2021-2024 Retention Plan which previously comprised the majority of our named executive officers’ long-term incentive compensation, equity-based compensation is expected to be an increasingly important and larger component of our executive compensation program in future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Performance Period Outcome Under 2022 Performance Stock Unit Awards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2022, the Compensation Committee approved the grant of PSUs to each of our named executive officers pursuant to the Company’s 2020 Incentive Award Plan, as amended (“2020 Plan”). The PSUs are eligible to vest in four equal installments based on the Company’s annual revenue growth rate over four annual performance periods consisting of calendar years 2022, 2023, 2024 and 2025, with up to 25% of the award eligible to vest each year (“2022 PSUs”).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the number of 2022 PSUs awarded to each named executive officer:</w:t>
            </w:r>
          </w:p>
        </w:tc>
        <w:tc>
          <w:tcPr>
            <w:tcW w:w="1560" w:type="dxa"/>
            <w:vAlign w:val="bottom"/>
          </w:tcPr>
          <w:p>
            <w:pPr>
              <w:spacing w:after="0"/>
              <w:rPr>
                <w:sz w:val="20"/>
                <w:szCs w:val="20"/>
                <w:color w:val="auto"/>
              </w:rPr>
            </w:pPr>
          </w:p>
        </w:tc>
      </w:tr>
      <w:tr>
        <w:trPr>
          <w:trHeight w:val="256"/>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 PSUs (#)</w:t>
            </w: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810,811</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378,378</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202,703</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148,649</w:t>
            </w:r>
          </w:p>
        </w:tc>
      </w:tr>
      <w:tr>
        <w:trPr>
          <w:trHeight w:val="230"/>
        </w:trPr>
        <w:tc>
          <w:tcPr>
            <w:tcW w:w="9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Uri Rubin</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Mr. Rubin did not receive a 2022 PSU award.</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annual performance period, up to 25% of the 2022 PSUs will be eligible to vest based on the Company’s annual revenue growth rate during the applicable performance period relative to threshold, target and maximum achievement levels. The following tables shows the threshold, target and maximum objectives and corresponding achievement levels for the Company’s annual revenue growth rate for the 2025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Annual Revenue Growth Rate for the</w:t>
            </w:r>
          </w:p>
        </w:tc>
        <w:tc>
          <w:tcPr>
            <w:tcW w:w="556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Revenue Growth Achievement Percentage</w:t>
            </w:r>
          </w:p>
        </w:tc>
        <w:tc>
          <w:tcPr>
            <w:tcW w:w="0" w:type="dxa"/>
            <w:vAlign w:val="bottom"/>
          </w:tcPr>
          <w:p>
            <w:pPr>
              <w:spacing w:after="0"/>
              <w:rPr>
                <w:sz w:val="1"/>
                <w:szCs w:val="1"/>
                <w:color w:val="auto"/>
              </w:rPr>
            </w:pPr>
          </w:p>
        </w:tc>
      </w:tr>
      <w:tr>
        <w:trPr>
          <w:trHeight w:val="243"/>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Fourth Annual Performance Period</w:t>
            </w:r>
          </w:p>
        </w:tc>
        <w:tc>
          <w:tcPr>
            <w:tcW w:w="5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Less than 1%</w:t>
            </w:r>
          </w:p>
        </w:tc>
        <w:tc>
          <w:tcPr>
            <w:tcW w:w="160" w:type="dxa"/>
            <w:vAlign w:val="bottom"/>
            <w:tcBorders>
              <w:top w:val="single" w:sz="8" w:color="CCEEFF"/>
            </w:tcBorders>
            <w:shd w:val="clear" w:color="auto" w:fill="CCEEFF"/>
          </w:tcPr>
          <w:p>
            <w:pPr>
              <w:spacing w:after="0"/>
              <w:rPr>
                <w:sz w:val="19"/>
                <w:szCs w:val="19"/>
                <w:color w:val="auto"/>
              </w:rPr>
            </w:pPr>
          </w:p>
        </w:tc>
        <w:tc>
          <w:tcPr>
            <w:tcW w:w="5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0"/>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60" w:type="dxa"/>
            <w:vAlign w:val="bottom"/>
          </w:tcPr>
          <w:p>
            <w:pPr>
              <w:spacing w:after="0"/>
              <w:rPr>
                <w:sz w:val="19"/>
                <w:szCs w:val="19"/>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160" w:type="dxa"/>
            <w:vAlign w:val="bottom"/>
            <w:shd w:val="clear" w:color="auto" w:fill="CCEEFF"/>
          </w:tcPr>
          <w:p>
            <w:pPr>
              <w:spacing w:after="0"/>
              <w:rPr>
                <w:sz w:val="19"/>
                <w:szCs w:val="19"/>
                <w:color w:val="auto"/>
              </w:rPr>
            </w:pPr>
          </w:p>
        </w:tc>
        <w:tc>
          <w:tcPr>
            <w:tcW w:w="5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34"/>
        </w:trPr>
        <w:tc>
          <w:tcPr>
            <w:tcW w:w="5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5% or more</w:t>
            </w:r>
          </w:p>
        </w:tc>
        <w:tc>
          <w:tcPr>
            <w:tcW w:w="5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Company’s annual revenue growth rate for the performance period is between two achievement levels, the achievement percentage will be determined by linear interpolation between the applicable achievement levels.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fourth and final annual performance period for the 2022 PSUs concluded on December 31, 2025. In February 2026, the Compensation Committee determined that the Company’s annual revenue growth rate during the applicable performance period was 8%, which resulted in a revenue growth achievement percentage of 100%. As a result, 100% of the 2022 PSUs eligible to vest with respect to 2025 performance vested in February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number of PSUs in which each named executive officer vested in February 2026 based on 2025 performance: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PSUs (#)</w:t>
            </w:r>
          </w:p>
        </w:tc>
      </w:tr>
      <w:tr>
        <w:trPr>
          <w:trHeight w:val="223"/>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202,703</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94,595</w:t>
            </w: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w:t>
            </w: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37,163</w:t>
            </w:r>
          </w:p>
        </w:tc>
      </w:tr>
      <w:tr>
        <w:trPr>
          <w:trHeight w:val="229"/>
        </w:trPr>
        <w:tc>
          <w:tcPr>
            <w:tcW w:w="96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Uri Rubin</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2"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Rubin did not receive a 2022 PSU award.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Performance Period Outcome Under 2024 Performance Stock Unit Awards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2024, the Compensation Committee approved the grant of PSUs to each of our named executive officers pursuant to the Company’s 2020 Plan (the “2024 PSUs”). The 2024 PSUs are eligible to vest in three annual installments over three one-year annual performance periods ending December 31, 2025, December 31, 2026 and December 31, 2027. The number of PSUs vesting for each annual determination date is based on the Company’s annual revenue growth rate (the “2024 Annual Revenue Growth Rate PSUs”), Adjusted EBITDA (the “2024 Adjusted EBITDA PSUs”) and total shareholder return (TSR) (the “2024 TSR PSUs”) for each annual performance period. For purposes of the 2024 Adjusted EBITDA PSUs, Adjusted EBITDA is defined as described above under “Annual Bonus Plan.” With respect to each of the 2024 Annual Growth Rate PSUs, the 2024 Adjusted EBITDA PSUs and the 2024 TSR PSUs, up to 33.3% of the award is eligible to vest each year based on performance relative to the applicable performance metric for the applicable annual performance period (with the numbers shown in the table below representing the number of PSUs that are eligible to vest assuming maximum performance relative to the performance goals). Except as described below upon a “Qualifying Termination,” a named executive officer must remain employed on the date the Compensation Committee certifies achievement for the applicable annual performance period in order to vest in the portion of the PSUs earned for such performance period. The highest level of performance that may be achieved for the PSUs is 100% of the number of PSUs awarded.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shows the number of 2024 PSUs awarded to each named executive officer: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2024 Annual</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2024 Adjusted</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Growth</w:t>
            </w:r>
          </w:p>
        </w:tc>
        <w:tc>
          <w:tcPr>
            <w:tcW w:w="1660" w:type="dxa"/>
            <w:vAlign w:val="bottom"/>
            <w:gridSpan w:val="2"/>
            <w:vMerge w:val="continue"/>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 TSR PSUs (#)</w:t>
            </w:r>
          </w:p>
        </w:tc>
        <w:tc>
          <w:tcPr>
            <w:tcW w:w="0" w:type="dxa"/>
            <w:vAlign w:val="bottom"/>
          </w:tcPr>
          <w:p>
            <w:pPr>
              <w:spacing w:after="0"/>
              <w:rPr>
                <w:sz w:val="1"/>
                <w:szCs w:val="1"/>
                <w:color w:val="auto"/>
              </w:rPr>
            </w:pPr>
          </w:p>
        </w:tc>
      </w:tr>
      <w:tr>
        <w:trPr>
          <w:trHeight w:val="243"/>
        </w:trPr>
        <w:tc>
          <w:tcPr>
            <w:tcW w:w="6360" w:type="dxa"/>
            <w:vAlign w:val="bottom"/>
            <w:gridSpan w:val="2"/>
            <w:vMerge w:val="continue"/>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 PSUs (#)</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EBITDA PSUs (#)</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1,195,098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1,195,098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2,390,196</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627,451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196,078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392,157</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382,353</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Uri Rubin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156,863</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Annual Revenue Growth Rate PSUs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annual performance period, up to 33.3% of the 2024 Annual Revenue Growth Rate PSUs will be eligible to vest following the end of the year based on the Company’s annual revenue growth rate during the applicable annual performance period, relative to the applicable revenue growth achievement percentage. The following table shows the threshold, target and maximum objectives and corresponding achievement levels for the Company’s annual revenue growth rate, for each annual performance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Annual Revenue Growth Rate for the First,</w:t>
            </w: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Revenue Growth Rate Achievement</w:t>
            </w:r>
          </w:p>
        </w:tc>
        <w:tc>
          <w:tcPr>
            <w:tcW w:w="0" w:type="dxa"/>
            <w:vAlign w:val="bottom"/>
          </w:tcPr>
          <w:p>
            <w:pPr>
              <w:spacing w:after="0"/>
              <w:rPr>
                <w:sz w:val="1"/>
                <w:szCs w:val="1"/>
                <w:color w:val="auto"/>
              </w:rPr>
            </w:pPr>
          </w:p>
        </w:tc>
      </w:tr>
      <w:tr>
        <w:trPr>
          <w:trHeight w:val="176"/>
        </w:trPr>
        <w:tc>
          <w:tcPr>
            <w:tcW w:w="3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Achievement Level</w:t>
            </w:r>
          </w:p>
        </w:tc>
        <w:tc>
          <w:tcPr>
            <w:tcW w:w="3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Second and Third Annual Performance</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gridSpan w:val="2"/>
            <w:vMerge w:val="continue"/>
          </w:tcPr>
          <w:p>
            <w:pPr>
              <w:spacing w:after="0"/>
              <w:rPr>
                <w:sz w:val="21"/>
                <w:szCs w:val="21"/>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Periods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Below Threshold</w:t>
            </w:r>
          </w:p>
        </w:tc>
        <w:tc>
          <w:tcPr>
            <w:tcW w:w="16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1%</w:t>
            </w:r>
          </w:p>
        </w:tc>
        <w:tc>
          <w:tcPr>
            <w:tcW w:w="10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9"/>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Threshold</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3"/>
              </w:rPr>
              <w:t>Target</w:t>
            </w:r>
          </w:p>
        </w:tc>
        <w:tc>
          <w:tcPr>
            <w:tcW w:w="3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2% or more</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Company’s annual revenue growth rate for a performance period is between two achievement levels, the achievement percentage will be determined by linear interpolation between the applicable achievement levels.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Adjusted EBITDA PSUs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annual performance period, up to 33.3% of the 2024 Adjusted EBITDA PSUs will be eligible to vest following the end of the year if the Company’s Adjusted EBITDA equals or exceeds the applicable Adjusted EBITDA targets set by the Compensation Committee for each annual performance period. For purposes of the 2024 Adjusted EBITDA PSUs, only a target objective was established for each annual performance period. The target Adjusted EBITDA objective for 2025 for purposes of the 2024 Adjusted EBITDA PSUs was $738 million.</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the Company’s Adjusted EBITDA for a performance period does not equal or exceed the target for such period, no 2024 Adjusted EBITDA PSUs will vest with respect to such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TSR PSUs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annual performance period, up to 33.3% of the 2024 TSR PSUs will be eligible to vest following the end of each year based on the Company’s 1-Year TSR during the applicable annual performance period, relative to the applicable TSR achievement percentage. The following table shows the below threshold, threshold and target objectives and corresponding achievement levels for the Company’s 1-Year TSR, for each annual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Achievement Level</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1-Year TSR for the First, Second and Third</w:t>
            </w:r>
          </w:p>
        </w:tc>
        <w:tc>
          <w:tcPr>
            <w:tcW w:w="364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TSR Achievement Percentage</w:t>
            </w:r>
          </w:p>
        </w:tc>
        <w:tc>
          <w:tcPr>
            <w:tcW w:w="0" w:type="dxa"/>
            <w:vAlign w:val="bottom"/>
          </w:tcPr>
          <w:p>
            <w:pPr>
              <w:spacing w:after="0"/>
              <w:rPr>
                <w:sz w:val="1"/>
                <w:szCs w:val="1"/>
                <w:color w:val="auto"/>
              </w:rPr>
            </w:pPr>
          </w:p>
        </w:tc>
      </w:tr>
      <w:tr>
        <w:trPr>
          <w:trHeight w:val="243"/>
        </w:trPr>
        <w:tc>
          <w:tcPr>
            <w:tcW w:w="3820" w:type="dxa"/>
            <w:vAlign w:val="bottom"/>
            <w:gridSpan w:val="2"/>
            <w:vMerge w:val="continue"/>
          </w:tcPr>
          <w:p>
            <w:pPr>
              <w:spacing w:after="0"/>
              <w:rPr>
                <w:sz w:val="21"/>
                <w:szCs w:val="21"/>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Annual Performance Periods</w:t>
            </w:r>
          </w:p>
        </w:tc>
        <w:tc>
          <w:tcPr>
            <w:tcW w:w="3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Below Threshold</w:t>
            </w:r>
          </w:p>
        </w:tc>
        <w:tc>
          <w:tcPr>
            <w:tcW w:w="16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Less than 10%</w:t>
            </w:r>
          </w:p>
        </w:tc>
        <w:tc>
          <w:tcPr>
            <w:tcW w:w="10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0"/>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Threshold</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3"/>
              </w:rPr>
              <w:t>Target</w:t>
            </w:r>
          </w:p>
        </w:tc>
        <w:tc>
          <w:tcPr>
            <w:tcW w:w="3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 or more</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the 2024 TSR PSUs, “1-Year TSR” means, for each annual performance period, the appreciation, expressed as a percentage (rounded to two decimal places), in the price of the Company’s common stock during such annual performance period, which will be equal to (i) (A) the sum of (1) the “Closing Average Share Value” (as defined below) plus (2) the cumulative amount of all cash dividends and other cash distributions per share with an ex-dividend date during the annual performance period, divided by (B) the Opening Average Share Value (as defined below), minus (ii) 1. “Closing Average Share Value” means, for each annual performance period, the average of the daily closing prices per share of the Company’s common stock as reported on the NASDAQ for all trading days in the period beginning December 1 and ending on December 31 of the calendar year preceding the applicable annual performance period. “Opening Average Share Value” means, for each annual performance period, the average of the daily closing prices per share of the Company’ common stock as reported on the NASDAQ for all trading days in the period beginning December 1 and ending on December 31 of the applicable annual performance period. TSR will be equitably adjusted to reflect stock dividends, stock-splits, spin-offs, and other corporate changes having similar effect not otherwise reflected in the calculation.</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Company’s 1-Year TSR for a performance period is between two achievement levels, the achievement percentage will be determined by linear interpolation between the applicable achievement levels.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first annual performance period for the 2024 PSUs concluded on December 31, 2025. In February 2026, the Compensation Committee determined that the Company’s annual revenue growth rate during the applicable performance period was 8%, the Company’s Adjusted EBITDA during the applicable</w:t>
      </w:r>
    </w:p>
    <w:p>
      <w:pPr>
        <w:spacing w:after="0" w:line="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period was $753,227,000 (which was in excess of the target level), and the Company’s TSR was -40.64%. As a result, 100% of the 2024 Annual Revenue Growth Rate PSUs and 2024 Adjusted EBITDA PSUs eligible to vest based on 2025 performance vested in February 2026. The 2024 TSR PSUs eligible to vest based on 2025 performance were forfeited in February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number of 2024 PSUs in which each named executive officer vested in February 2026 based on 2025 performance: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2024 Annual</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2024 Adjusted</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Revenue Growth</w:t>
            </w:r>
          </w:p>
        </w:tc>
        <w:tc>
          <w:tcPr>
            <w:tcW w:w="1660" w:type="dxa"/>
            <w:vAlign w:val="bottom"/>
            <w:gridSpan w:val="2"/>
            <w:vMerge w:val="continue"/>
          </w:tcPr>
          <w:p>
            <w:pPr>
              <w:spacing w:after="0"/>
              <w:rPr>
                <w:sz w:val="15"/>
                <w:szCs w:val="15"/>
                <w:color w:val="auto"/>
              </w:rPr>
            </w:pPr>
          </w:p>
        </w:tc>
        <w:tc>
          <w:tcPr>
            <w:tcW w:w="1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2024 TSR PSUs (#)</w:t>
            </w:r>
          </w:p>
        </w:tc>
        <w:tc>
          <w:tcPr>
            <w:tcW w:w="0" w:type="dxa"/>
            <w:vAlign w:val="bottom"/>
          </w:tcPr>
          <w:p>
            <w:pPr>
              <w:spacing w:after="0"/>
              <w:rPr>
                <w:sz w:val="1"/>
                <w:szCs w:val="1"/>
                <w:color w:val="auto"/>
              </w:rPr>
            </w:pPr>
          </w:p>
        </w:tc>
      </w:tr>
      <w:tr>
        <w:trPr>
          <w:trHeight w:val="243"/>
        </w:trPr>
        <w:tc>
          <w:tcPr>
            <w:tcW w:w="6360" w:type="dxa"/>
            <w:vAlign w:val="bottom"/>
            <w:gridSpan w:val="2"/>
            <w:vMerge w:val="continue"/>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 PSUs (#)</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EBITDA PSUs (#)</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398,366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104,575</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63,725</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Uri Rubin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Performance Stock Unit Awards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2025, the Compensation Committee approved the grant of 125,000 PSUs to Mr. Rubin pursuant to the Company’s 2020 Plan (the “2025 PSUs”) to recognize his responsibility for certain key AI-related initiatives within the Company. The 2025 PSUs are eligible to vest in three annual installments over three one-year annual performance periods ending December 31, 2026, December 31, 2027 and December 31, 2028. The number of PSUs vesting for each annual determination date is based on the Company’s annual revenue growth rate (the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2" w:name="page33"/>
    <w:bookmarkEnd w:id="32"/>
    <w:p>
      <w:pPr>
        <w:jc w:val="both"/>
        <w:spacing w:after="0" w:line="256" w:lineRule="auto"/>
        <w:rPr>
          <w:sz w:val="20"/>
          <w:szCs w:val="20"/>
          <w:color w:val="auto"/>
        </w:rPr>
      </w:pPr>
      <w:r>
        <w:rPr>
          <w:rFonts w:ascii="Times New Roman" w:cs="Times New Roman" w:eastAsia="Times New Roman" w:hAnsi="Times New Roman"/>
          <w:sz w:val="18"/>
          <w:szCs w:val="18"/>
          <w:color w:val="auto"/>
        </w:rPr>
        <w:t>Annual Revenue Growth Rate PSUs”) for each annual performance period. With respect to the 2025 Annual Growth Rate PSUs, up to 33.3% of the award is eligible to vest each year based on performance relative to the applicable performance metric for the applicable annual performance period (with the numbers shown in the table below representing the number of 2025 PSUs that are eligible to vest assuming maximum performance relative to the performance goals). Except as described below upon a “Qualifying Termination,” Mr. Rubin must remain employed on the date the Compensation Committee certifies achievement for the applicable annual performance period in order to vest in the portion of the PSUs earned for such performance period. The highest level of performance that may be achieved for the 2025 PSUs is 100% of the number of PSUs awarded.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Revenue Growth Rate PSUs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annual performance period, up to 33.3% of the 2025 Annual Revenue Growth Rate PSUs will be eligible to vest following the end of the year based on the Company’s annual revenue growth rate during the applicable annual performance period, relative to the applicable revenue growth achievement percentage. The following table shows the threshold, target and maximum objectives and corresponding achievement levels for the Company’s annual revenue growth rate, for each annual performance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Annual Revenue Growth Rate for the First,</w:t>
            </w:r>
          </w:p>
        </w:tc>
        <w:tc>
          <w:tcPr>
            <w:tcW w:w="3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Revenue Growth Rate Achievement</w:t>
            </w:r>
          </w:p>
        </w:tc>
        <w:tc>
          <w:tcPr>
            <w:tcW w:w="0" w:type="dxa"/>
            <w:vAlign w:val="bottom"/>
          </w:tcPr>
          <w:p>
            <w:pPr>
              <w:spacing w:after="0"/>
              <w:rPr>
                <w:sz w:val="1"/>
                <w:szCs w:val="1"/>
                <w:color w:val="auto"/>
              </w:rPr>
            </w:pPr>
          </w:p>
        </w:tc>
      </w:tr>
      <w:tr>
        <w:trPr>
          <w:trHeight w:val="175"/>
        </w:trPr>
        <w:tc>
          <w:tcPr>
            <w:tcW w:w="3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Achievement Level</w:t>
            </w:r>
          </w:p>
        </w:tc>
        <w:tc>
          <w:tcPr>
            <w:tcW w:w="37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Second and Third Annual Performance</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gridSpan w:val="2"/>
            <w:vMerge w:val="continue"/>
          </w:tcPr>
          <w:p>
            <w:pPr>
              <w:spacing w:after="0"/>
              <w:rPr>
                <w:sz w:val="21"/>
                <w:szCs w:val="21"/>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Periods</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Below Threshold</w:t>
            </w:r>
          </w:p>
        </w:tc>
        <w:tc>
          <w:tcPr>
            <w:tcW w:w="160" w:type="dxa"/>
            <w:vAlign w:val="bottom"/>
            <w:tcBorders>
              <w:top w:val="single" w:sz="8" w:color="CCEEFF"/>
            </w:tcBorders>
            <w:shd w:val="clear" w:color="auto" w:fill="CCEEFF"/>
          </w:tcPr>
          <w:p>
            <w:pPr>
              <w:spacing w:after="0"/>
              <w:rPr>
                <w:sz w:val="19"/>
                <w:szCs w:val="19"/>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Less than 1%</w:t>
            </w:r>
          </w:p>
        </w:tc>
        <w:tc>
          <w:tcPr>
            <w:tcW w:w="10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29"/>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Threshold</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Pr>
          <w:p>
            <w:pPr>
              <w:spacing w:after="0"/>
              <w:rPr>
                <w:sz w:val="19"/>
                <w:szCs w:val="19"/>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3"/>
              </w:rPr>
              <w:t>Target</w:t>
            </w:r>
          </w:p>
        </w:tc>
        <w:tc>
          <w:tcPr>
            <w:tcW w:w="3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2% or more</w:t>
            </w:r>
          </w:p>
        </w:tc>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Company’s annual revenue growth rate for a performance period is between two achievement levels, the achievement percentage will be determined by linear interpolation between the applicable achievement levels.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Vesting of PSU Awards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named executive officer’s employment is terminated by the Company other than for “cause” or by the executive for “good reason” (each, as defined in the 2020 Plan) (any such termination, a “Qualifying Termination”), in each case, prior to a change in control, then the named executive officer will remain eligible to vest in the number of PSUs that would vest during the annual performance period in which the termination date occurred based on actual performance, prorated to reflect the number of days the executive was employed during such performance period, provided that if such Qualifying Termination occurs within three months prior to a “change in control” (as defined in the 2020 Plan), all outstanding PSUs at the time of termination will be treated as provided below upon the occurrence of a change in control.</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a change in control, all of the outstanding PSUs as of the date of the change in control will be eligible to vest based on the passage of time in substantially equal installments on each December 31 occurring following the change in control through and including the last day of the final annual performance period applicable to such PSUs, subject to the executive’s continued service through the applicable vesting date; provided that any PSUs eligible to vest based on a completed performance period but which have not yet vested will vest based on actual performance for such completed performance period on the date of the change in control. In the event a named executive officer experiences a Qualifying Termination after a change in control, but on or prior to the last day of the final annual performance period applicable to such PSUs, any outstanding and unvested PSUs will accelerate and vest in full on the date of termination.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Restricted Stock Unit Awards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the Compensation Committee approved the issuance of 125,000 RSUs (the “2025 RSUs”) to Mr. Rubin to recognize his responsibility for certain key AI-related initiatives within the Company. The 2025 RSUs are governed by the terms and conditions of the 2020 Plan and the applicable RSU agreements. These 2025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will be eligible to vest 33.3% on November 15, 2026, and then 8.33% quarterly over two years commencing with the first quarterly vesting date of February 15, 2027, subject to Mr. Rubin’s continued service through such vesting date, so that all of the 2025 RSUs shall be vested on November 15, 2028, subject to Mr. Rubin’s continuous service through the applicable vesting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 and Other Benefits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our named executive officers do not receive any perquisites or other benefits beyond those that are generally provided to employees within the Company who are located in the same geographical location.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security for Mr. Antokol and his family. The decision to provide Mr. Antokol with the personal security benefit was prompted by the results of an analysis provided by an independent professional consulting firm specializing in executive safety and security. Based on these results, the Board approved personal security services to Mr. Antokol and his family. We also maintain a corporate aircraft that is used primarily for business travel by our executive officers. The Board, based on the foregoing executive safety and security analysis, has determined that Mr. Antokol will be required to use our corporate aircraft for all travel (or otherwise via private air travel), including non-business travel. However, due to operational circumstances for the cost of a private aircraft, Mr. Antokol may travel by commercial airline from time to time. During 2025, Mr. Antokol received the benefit of personal aircraft use as described in the “2025 Summary Compensation Table” below, and the incremental cost of such personal aircraft use (to the extent we were not reimbursed by Mr. Antokol for such cost), as well as the methodology used by us to calculate such incremental cost, is described in the footnotes to that table. On occasion, our executive officers may have family members and other guests accompany them on our corporate aircraft when traveling on business, but we do not incur any incremental cost as a result of such family or guest travel.</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Tax Gross-Ups</w:t>
      </w:r>
      <w:r>
        <w:rPr>
          <w:rFonts w:ascii="Times New Roman" w:cs="Times New Roman" w:eastAsia="Times New Roman" w:hAnsi="Times New Roman"/>
          <w:sz w:val="18"/>
          <w:szCs w:val="18"/>
          <w:color w:val="auto"/>
        </w:rPr>
        <w:t>. From time to time, we make gross up payments to cover the personal income taxes for Messrs. Antokol, Korczak and Rubin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recognized by them as a result of company-paid holiday-related gifts, health insurance, and costs associated with company-paid business meetings that are taxable under Israeli law, as well as their children’s participation in a company-sponsored camp, as detailed in the footnotes to the “2025 Summary Compensation Table”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and Other Benefits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Health and Welfare Benefits for U.S. Employees. </w:t>
      </w:r>
      <w:r>
        <w:rPr>
          <w:rFonts w:ascii="Times New Roman" w:cs="Times New Roman" w:eastAsia="Times New Roman" w:hAnsi="Times New Roman"/>
          <w:sz w:val="18"/>
          <w:szCs w:val="18"/>
          <w:color w:val="auto"/>
        </w:rPr>
        <w:t>All of our full-time U.S. employees, including our U.S.-based named executive officers Messrs. Abrahams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Cohen, are eligible to participate in our health and welfare plans on the same basis, including:</w:t>
      </w:r>
    </w:p>
    <w:p>
      <w:pPr>
        <w:spacing w:after="0" w:line="187" w:lineRule="exact"/>
        <w:rPr>
          <w:sz w:val="20"/>
          <w:szCs w:val="20"/>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and accidental death and disability insurance.</w:t>
      </w:r>
    </w:p>
    <w:p>
      <w:pPr>
        <w:spacing w:after="0" w:line="2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 401(k) Plan. </w:t>
      </w:r>
      <w:r>
        <w:rPr>
          <w:rFonts w:ascii="Times New Roman" w:cs="Times New Roman" w:eastAsia="Times New Roman" w:hAnsi="Times New Roman"/>
          <w:sz w:val="18"/>
          <w:szCs w:val="18"/>
          <w:color w:val="auto"/>
        </w:rPr>
        <w:t>Our U.S.-based employees who satisfy certain eligibility requirements are also eligible to participate in a 401(k) retirement savings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Internal Revenue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subject to a three-year vesting schedule.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Benefits to Israeli Employees. </w:t>
      </w:r>
      <w:r>
        <w:rPr>
          <w:rFonts w:ascii="Times New Roman" w:cs="Times New Roman" w:eastAsia="Times New Roman" w:hAnsi="Times New Roman"/>
          <w:sz w:val="18"/>
          <w:szCs w:val="18"/>
          <w:color w:val="auto"/>
        </w:rPr>
        <w:t>Generally, benefits available to our Israel-based employees are available to all Israel-based employees on the same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 welfare benefits, annual vacation leave, sick leave, convalescence pay, military duty leave, transportation expense reimbursement, advanced study fund, life and disability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and other customary or mandatory social benefits in Israel. We make monthly contributions to funds administered by financial institutions for certain pension and severance liabilities on behalf of each of our Israel-based employees, including our Israel-based named executive officers, subject to certain conditions. The amount of these contributions is based on a percentage of the employee’s salary, taking into account any base salary thresholds under Section 14 of the Israeli Severance Pay Law—1963. Generally, company contributions are made to a pension insurance policy, manager’s insurance policy and/or pension fund, or a combination thereof (based on the employee’s personal choice), up to a total of 14.83% of an employee’s determining salary, of which up to 8.33% is contributed to a severance fund (applying the arrangement in accordance with Section 14 of the Israeli Severance Pay Law—1963), and up to 6.5% is applied to compensatory payments. In the case of Mr. Antokol, the Company and Mr. Antokol have agreed to use a salary lower than his actual salary for purposes of determining these contributions under Section 14 of the Israeli Severance Pay Law-1963. Other than certain employees, including Mr. Antokol, as further described below, these severance contributions under Section 14 of the Israeli Severance Pay Law—1963 are designed to satisfy in full our statutory severance pay obligation for our Israel-based employees. The compensatory payment component is applied to fund pension and/or disability benefits for the employee. Our Israel-based employees make a corresponding contribution of up to 6% of their salary.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Benefits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party to employment agreements with our Israel-based named executive officers. Mr. Antokol’s employment agreement provides for severance benefits upon his Qualifying Termination. In addition, all of our Israel-based named executive officers are entitled to severance pay upon termination of employment for any reason, including retirement, according to Section 14 of the Israeli Severance Pay Law—1963. We make a contribution on a monthly basis for each of our Israel-based employees, including our Israel-based named executive officers, of 8.33% of their monthly salary to a severance fund for this purpose, provided, however, that Mr. Antokol previously elected to have the Company make severance contributions on his behalf that are based on a lower salary than his actual monthly salary for purposes of Section 14 contributions. This arrangement lowers Mr. Antokol’s tax liability and is part of an arrangement that also includes lower pension contributions (for both the employee and employer) resulting in higher net proceeds to Mr. Antokol. Section 14 of the Israeli Severance Pay Law-1963 states that employer contributions for severance pay are in lieu of severance compensation and, upon release of the policy to the employee, no additional obligations shall be conducted between the parties regarding the matter of severance pay and no additional payments will be made by the employer to the employee unless otherwise specified in a written agreement between the employer and the employee. To the extent possible under Israeli law, Mr. Antokol has agreed to waive his rights to any additional severance pay from the Company to which he would be eligible under Israeli law given that the Company’s severance contributions for Mr. Antokol have been based on a salary lower than his actual salary. However, in the event the Company is not fully relieved from its statutory severance pay obligations with respect to Mr. Antokol despite such waiver, the Company could be obligated to pay additional Statutory severance pay to Mr. Antokol in connection with a termination for any reason other than for cause. Statutory severance pay in Israel is set at one month pay for every year of service or portion thereof, based on the employee’s latest salary.</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these arrangements is set forth under “—Employment Agreements” below, and information on the estimated payments and benefits that our named executive officers would have been eligible to receive as of December 31, 2025, is set forth in “—Potential Payments Upon Termination or Change in Control”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Tax and Accounting Considerations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general matter, the Board reviews and considers the various tax and accounting implications of compensation programs we utilize.</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Ownership Guidelines</w:t>
      </w:r>
      <w:r>
        <w:rPr>
          <w:rFonts w:ascii="Times New Roman" w:cs="Times New Roman" w:eastAsia="Times New Roman" w:hAnsi="Times New Roman"/>
          <w:sz w:val="18"/>
          <w:szCs w:val="18"/>
          <w:color w:val="auto"/>
        </w:rPr>
        <w:t>. In addition to the elements of executive officer compensation described below, we have adopted stock ownership guidelines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our executive officers are required to hold a number of shares of our common stock having a market value equal to or greater than a multiple of each executive’s base salary. Each officer must achieve ownership of the required market value of shares within three years of becoming subject to the guidelines. Common stock, common stock beneficially owned by the officer and RSUs count towards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requirement, but shares the officer has a right to acquire through exercising stock options (whether or not vested) are not counted. In addition, unearned performance-based awards (including our PSUs) are not counted as ownership for purposes of measuring compliance with the guidelines. Our stock ownership guidelines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Requirement as a</w:t>
            </w:r>
          </w:p>
        </w:tc>
      </w:tr>
      <w:tr>
        <w:trPr>
          <w:trHeight w:val="238"/>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Multiple of Base Salary</w:t>
            </w:r>
          </w:p>
        </w:tc>
      </w:tr>
      <w:tr>
        <w:trPr>
          <w:trHeight w:val="223"/>
        </w:trPr>
        <w:tc>
          <w:tcPr>
            <w:tcW w:w="8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6x</w:t>
            </w:r>
          </w:p>
        </w:tc>
      </w:tr>
      <w:tr>
        <w:trPr>
          <w:trHeight w:val="234"/>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3x</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each of our executive officers are in compliance with the stock ownership guidelines and, other than Mr. Lee who was recently appointed as an executive officer and has until April 2029 to achieve the stock ownership requirements, all of our executive officers have satisfied the stock ownership requirements.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Deductibility of Executive Compensation</w:t>
      </w:r>
      <w:r>
        <w:rPr>
          <w:rFonts w:ascii="Times New Roman" w:cs="Times New Roman" w:eastAsia="Times New Roman" w:hAnsi="Times New Roman"/>
          <w:sz w:val="18"/>
          <w:szCs w:val="18"/>
          <w:color w:val="auto"/>
        </w:rPr>
        <w:t>. Section 162(m) of the Code denies a publicly-traded corporation a federal income tax deduction for remuneration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excess of $1 million per year per person paid to executives designated in Section 162(m) of the Code, including, but not limited to, its chief executive officer, chief financial officer, and the next three highly compensated executive officers. However, we believe that maintaining the discretion to provide compensation that is non-deductible allows us to provide compensation tailored to the needs of our company and our named executive officers and is an important part of our responsibilities and benefits our stockholders.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Accounting for Share-Based Compensation. </w:t>
      </w:r>
      <w:r>
        <w:rPr>
          <w:rFonts w:ascii="Times New Roman" w:cs="Times New Roman" w:eastAsia="Times New Roman" w:hAnsi="Times New Roman"/>
          <w:sz w:val="18"/>
          <w:szCs w:val="18"/>
          <w:color w:val="auto"/>
        </w:rPr>
        <w:t>We account for share-based payments, including our long-term equity incentive program,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requirements of the Financial Accounting Standards Board (“FASB”), Accounting Standards Codification Topic 718.</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Risk Considerations</w:t>
      </w:r>
      <w:r>
        <w:rPr>
          <w:rFonts w:ascii="Times New Roman" w:cs="Times New Roman" w:eastAsia="Times New Roman" w:hAnsi="Times New Roman"/>
          <w:sz w:val="18"/>
          <w:szCs w:val="18"/>
          <w:color w:val="auto"/>
        </w:rPr>
        <w:t>. In establishing and reviewing our executive compensation program, the Compensation Committee considers whether the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encourages unnecessary or excessive risk-taking and has concluded that it does not. See the section entitled “Corporate Governance–Role of the Board in Risk Oversight” above for an additional discussion of risk considerations.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Prohibition on Hedging, Pledging, and Short Sales. </w:t>
      </w:r>
      <w:r>
        <w:rPr>
          <w:rFonts w:ascii="Times New Roman" w:cs="Times New Roman" w:eastAsia="Times New Roman" w:hAnsi="Times New Roman"/>
          <w:sz w:val="18"/>
          <w:szCs w:val="18"/>
          <w:color w:val="auto"/>
        </w:rPr>
        <w:t>We prohibit our directors, officers, employees, and their family members from engaging in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derivative securities, short selling our securities, trading in any puts, calls or covered calls, writing purchase or call options and short sales, or otherwise participating in hedging, “stop loss,” or other speculative transactions involving our securities. In addition, margin purchases of our securities and pledging any of our securities as collateral to secure loans is prohibited. See the section entitled “Corporate Governance–Anti-Hedging and Anti-Pledging Policies” above for an additional discussion of our anti-hedging and anti-pledging policies.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Clawback Policy. </w:t>
      </w:r>
      <w:r>
        <w:rPr>
          <w:rFonts w:ascii="Times New Roman" w:cs="Times New Roman" w:eastAsia="Times New Roman" w:hAnsi="Times New Roman"/>
          <w:sz w:val="18"/>
          <w:szCs w:val="18"/>
          <w:color w:val="auto"/>
        </w:rPr>
        <w:t>We have adopted a clawback policy that requires the recovery of certain erroneously paid incentive compensation received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16 officers on or after October 2, 2023, as required by new SEC rules and Nasdaq Listing Standards implemented pursuant to the Dodd-Frank Act. Under our clawback policy, in the event that we are required to prepare an accounting restatement, we will attempt to recover from our current or former Section 16 officers the pre-tax amount of any erroneously awarded incentive compensation as required by such rules and listing standards. For purposes of the clawback policy, incentive compensation means any compensation that is granted, earned or vested based wholly or in part upon the attainment of any measures determined and presented in accordance with the accounting principles used in preparing the Company’s financial statements, and any measures that are derived wholly or in part from such measures, as well as stock or share price and total shareholder return.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Grant Practices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adopted any specific policy regarding the amount or timing of long-term incentive awards to eligible service providers. Grant approval for executive officers generally occurs at regularly scheduled meetings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Committee or the Board or by written consent where warranted by the circumstances. The timing of grants is not coordinated with the release of material non-public information, and the Compensation Committee does not take material nonpublic information into account when determining the timing and terms of awards.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Grants may be made during the year to newly hired employees or retained service providers as part of the new-hire compensation package, as well as to existing service providers as part of an annual award or for purposes of retention, as part of a special incentive program or in recognition of special achievements or promotions.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all stock option awards granted historically by the company, the exercise price was no less than the closing price of our common stock on the date of the grant. We did not grant any stock options, stock appreciation rights or stock option-like instruments during 2025 to any of our employees, including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5"/>
          <w:szCs w:val="25"/>
          <w:b w:val="1"/>
          <w:bCs w:val="1"/>
          <w:color w:val="auto"/>
        </w:rPr>
        <w:t>2025 Compensation Tables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named executive officers during our most recently completed fiscal year ended December 31, 2025.</w:t>
      </w: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360" w:type="dxa"/>
            <w:vAlign w:val="bottom"/>
          </w:tcPr>
          <w:p>
            <w:pPr>
              <w:spacing w:after="0"/>
              <w:rPr>
                <w:sz w:val="12"/>
                <w:szCs w:val="12"/>
                <w:color w:val="auto"/>
              </w:rPr>
            </w:pPr>
          </w:p>
        </w:tc>
        <w:tc>
          <w:tcPr>
            <w:tcW w:w="11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sation</w:t>
            </w:r>
          </w:p>
        </w:tc>
        <w:tc>
          <w:tcPr>
            <w:tcW w:w="3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9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60" w:type="dxa"/>
            <w:vAlign w:val="bottom"/>
          </w:tcPr>
          <w:p>
            <w:pPr>
              <w:jc w:val="right"/>
              <w:ind w:right="308"/>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7"/>
                <w:szCs w:val="17"/>
                <w:color w:val="auto"/>
              </w:rPr>
            </w:pPr>
          </w:p>
        </w:tc>
        <w:tc>
          <w:tcPr>
            <w:tcW w:w="1160" w:type="dxa"/>
            <w:vAlign w:val="bottom"/>
          </w:tcPr>
          <w:p>
            <w:pPr>
              <w:jc w:val="right"/>
              <w:ind w:right="368"/>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182"/>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Antokol</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2,079,448</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2,284,330</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1,488,223</w:t>
            </w:r>
          </w:p>
        </w:tc>
        <w:tc>
          <w:tcPr>
            <w:tcW w:w="360" w:type="dxa"/>
            <w:vAlign w:val="bottom"/>
            <w:tcBorders>
              <w:top w:val="single" w:sz="8" w:color="CCEEFF"/>
            </w:tcBorders>
            <w:shd w:val="clear" w:color="auto" w:fill="CCEEFF"/>
          </w:tcPr>
          <w:p>
            <w:pPr>
              <w:jc w:val="right"/>
              <w:ind w:right="142"/>
              <w:spacing w:after="0" w:line="130" w:lineRule="exact"/>
              <w:rPr>
                <w:sz w:val="20"/>
                <w:szCs w:val="20"/>
                <w:color w:val="auto"/>
              </w:rPr>
            </w:pPr>
            <w:r>
              <w:rPr>
                <w:rFonts w:ascii="Times New Roman" w:cs="Times New Roman" w:eastAsia="Times New Roman" w:hAnsi="Times New Roman"/>
                <w:sz w:val="12"/>
                <w:szCs w:val="12"/>
                <w:color w:val="auto"/>
                <w:w w:val="99"/>
              </w:rPr>
              <w:t>(5)</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5,852,001</w:t>
            </w:r>
          </w:p>
        </w:tc>
        <w:tc>
          <w:tcPr>
            <w:tcW w:w="0" w:type="dxa"/>
            <w:vAlign w:val="bottom"/>
          </w:tcPr>
          <w:p>
            <w:pPr>
              <w:spacing w:after="0"/>
              <w:rPr>
                <w:sz w:val="1"/>
                <w:szCs w:val="1"/>
                <w:color w:val="auto"/>
              </w:rPr>
            </w:pPr>
          </w:p>
        </w:tc>
      </w:tr>
      <w:tr>
        <w:trPr>
          <w:trHeight w:val="193"/>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13,652,913</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38,179,397</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30,675,945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1,613,772</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84,141,574</w:t>
            </w:r>
          </w:p>
        </w:tc>
        <w:tc>
          <w:tcPr>
            <w:tcW w:w="0" w:type="dxa"/>
            <w:vAlign w:val="bottom"/>
          </w:tcPr>
          <w:p>
            <w:pPr>
              <w:spacing w:after="0"/>
              <w:rPr>
                <w:sz w:val="1"/>
                <w:szCs w:val="1"/>
                <w:color w:val="auto"/>
              </w:rPr>
            </w:pPr>
          </w:p>
        </w:tc>
      </w:tr>
      <w:tr>
        <w:trPr>
          <w:trHeight w:val="206"/>
        </w:trPr>
        <w:tc>
          <w:tcPr>
            <w:tcW w:w="2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17,146</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13,652,913</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34,131,660</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1,187,727</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48,989,446</w:t>
            </w: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Abrahams</w:t>
            </w:r>
          </w:p>
        </w:tc>
        <w:tc>
          <w:tcPr>
            <w:tcW w:w="10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1,326,757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2,483,857</w:t>
            </w:r>
          </w:p>
        </w:tc>
        <w:tc>
          <w:tcPr>
            <w:tcW w:w="0" w:type="dxa"/>
            <w:vAlign w:val="bottom"/>
          </w:tcPr>
          <w:p>
            <w:pPr>
              <w:spacing w:after="0"/>
              <w:rPr>
                <w:sz w:val="1"/>
                <w:szCs w:val="1"/>
                <w:color w:val="auto"/>
              </w:rPr>
            </w:pPr>
          </w:p>
        </w:tc>
      </w:tr>
      <w:tr>
        <w:trPr>
          <w:trHeight w:val="152"/>
        </w:trPr>
        <w:tc>
          <w:tcPr>
            <w:tcW w:w="234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President and Chief Financial</w:t>
            </w: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2,123,786</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10,022,478</w:t>
            </w:r>
          </w:p>
        </w:tc>
        <w:tc>
          <w:tcPr>
            <w:tcW w:w="10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7,035,062</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19,537,725</w:t>
            </w:r>
          </w:p>
        </w:tc>
        <w:tc>
          <w:tcPr>
            <w:tcW w:w="0" w:type="dxa"/>
            <w:vAlign w:val="bottom"/>
          </w:tcPr>
          <w:p>
            <w:pPr>
              <w:spacing w:after="0"/>
              <w:rPr>
                <w:sz w:val="1"/>
                <w:szCs w:val="1"/>
                <w:color w:val="auto"/>
              </w:rPr>
            </w:pPr>
          </w:p>
        </w:tc>
      </w:tr>
      <w:tr>
        <w:trPr>
          <w:trHeight w:val="190"/>
        </w:trPr>
        <w:tc>
          <w:tcPr>
            <w:tcW w:w="2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2,123,786</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8,090,018</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7,077</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10,570,881</w:t>
            </w: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Cohen</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1,009,489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1,891,637</w:t>
            </w:r>
          </w:p>
        </w:tc>
        <w:tc>
          <w:tcPr>
            <w:tcW w:w="0" w:type="dxa"/>
            <w:vAlign w:val="bottom"/>
          </w:tcPr>
          <w:p>
            <w:pPr>
              <w:spacing w:after="0"/>
              <w:rPr>
                <w:sz w:val="1"/>
                <w:szCs w:val="1"/>
                <w:color w:val="auto"/>
              </w:rPr>
            </w:pPr>
          </w:p>
        </w:tc>
      </w:tr>
      <w:tr>
        <w:trPr>
          <w:trHeight w:val="152"/>
        </w:trPr>
        <w:tc>
          <w:tcPr>
            <w:tcW w:w="2340" w:type="dxa"/>
            <w:vAlign w:val="bottom"/>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Chief Legal Officer and Corporate</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1,061,893</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6,264,048</w:t>
            </w:r>
          </w:p>
        </w:tc>
        <w:tc>
          <w:tcPr>
            <w:tcW w:w="1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3,603,578</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w:t>
            </w: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11,320,958</w:t>
            </w:r>
          </w:p>
        </w:tc>
        <w:tc>
          <w:tcPr>
            <w:tcW w:w="0" w:type="dxa"/>
            <w:vAlign w:val="bottom"/>
          </w:tcPr>
          <w:p>
            <w:pPr>
              <w:spacing w:after="0"/>
              <w:rPr>
                <w:sz w:val="1"/>
                <w:szCs w:val="1"/>
                <w:color w:val="auto"/>
              </w:rPr>
            </w:pPr>
          </w:p>
        </w:tc>
      </w:tr>
      <w:tr>
        <w:trPr>
          <w:trHeight w:val="190"/>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Secretary</w:t>
            </w: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385,000</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1,061,893</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4,160,517</w:t>
            </w: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7,113</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5,614,523</w:t>
            </w: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Nir Korczak</w:t>
            </w:r>
          </w:p>
        </w:tc>
        <w:tc>
          <w:tcPr>
            <w:tcW w:w="10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525,113</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576,851</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93,588</w:t>
            </w:r>
          </w:p>
        </w:tc>
        <w:tc>
          <w:tcPr>
            <w:tcW w:w="360" w:type="dxa"/>
            <w:vAlign w:val="bottom"/>
          </w:tcPr>
          <w:p>
            <w:pPr>
              <w:jc w:val="right"/>
              <w:ind w:right="142"/>
              <w:spacing w:after="0"/>
              <w:rPr>
                <w:sz w:val="20"/>
                <w:szCs w:val="20"/>
                <w:color w:val="auto"/>
              </w:rPr>
            </w:pPr>
            <w:r>
              <w:rPr>
                <w:rFonts w:ascii="Times New Roman" w:cs="Times New Roman" w:eastAsia="Times New Roman" w:hAnsi="Times New Roman"/>
                <w:sz w:val="12"/>
                <w:szCs w:val="12"/>
                <w:color w:val="auto"/>
                <w:w w:val="99"/>
              </w:rPr>
              <w:t>(7)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1,195,552</w:t>
            </w:r>
          </w:p>
        </w:tc>
        <w:tc>
          <w:tcPr>
            <w:tcW w:w="0" w:type="dxa"/>
            <w:vAlign w:val="bottom"/>
          </w:tcPr>
          <w:p>
            <w:pPr>
              <w:spacing w:after="0"/>
              <w:rPr>
                <w:sz w:val="1"/>
                <w:szCs w:val="1"/>
                <w:color w:val="auto"/>
              </w:rPr>
            </w:pPr>
          </w:p>
        </w:tc>
      </w:tr>
      <w:tr>
        <w:trPr>
          <w:trHeight w:val="152"/>
        </w:trPr>
        <w:tc>
          <w:tcPr>
            <w:tcW w:w="234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Chief Marketing Officer and</w:t>
            </w:r>
          </w:p>
        </w:tc>
        <w:tc>
          <w:tcPr>
            <w:tcW w:w="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244,062</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606,796</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6,107,446</w:t>
            </w:r>
          </w:p>
        </w:tc>
        <w:tc>
          <w:tcPr>
            <w:tcW w:w="10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2,830,998</w:t>
            </w:r>
          </w:p>
        </w:tc>
        <w:tc>
          <w:tcPr>
            <w:tcW w:w="1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50,459</w:t>
            </w: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9,839,761</w:t>
            </w:r>
          </w:p>
        </w:tc>
        <w:tc>
          <w:tcPr>
            <w:tcW w:w="0" w:type="dxa"/>
            <w:vAlign w:val="bottom"/>
          </w:tcPr>
          <w:p>
            <w:pPr>
              <w:spacing w:after="0"/>
              <w:rPr>
                <w:sz w:val="1"/>
                <w:szCs w:val="1"/>
                <w:color w:val="auto"/>
              </w:rPr>
            </w:pPr>
          </w:p>
        </w:tc>
      </w:tr>
      <w:tr>
        <w:trPr>
          <w:trHeight w:val="195"/>
        </w:trPr>
        <w:tc>
          <w:tcPr>
            <w:tcW w:w="234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Executive General Manager</w:t>
            </w: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Uri Rubin</w:t>
            </w:r>
            <w:r>
              <w:rPr>
                <w:rFonts w:ascii="Times New Roman" w:cs="Times New Roman" w:eastAsia="Times New Roman" w:hAnsi="Times New Roman"/>
                <w:sz w:val="9"/>
                <w:szCs w:val="9"/>
                <w:color w:val="auto"/>
              </w:rPr>
              <w:t>(8)</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464,915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855,958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593,096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83,630</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1,997,599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4"/>
          <w:szCs w:val="14"/>
          <w:i w:val="1"/>
          <w:iCs w:val="1"/>
          <w:color w:val="auto"/>
        </w:rPr>
        <w:t>Chief Technology Officer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660" w:hanging="652"/>
        <w:spacing w:after="0" w:line="229" w:lineRule="auto"/>
        <w:tabs>
          <w:tab w:leader="none" w:pos="323"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 this column reflect payouts pursuant to the named executive officer’s Retention Units under the 2021-2024 Retention Plan (which amounts were calculated and paid in U.S. Dollars for all named executive officers).</w:t>
      </w:r>
    </w:p>
    <w:p>
      <w:pPr>
        <w:spacing w:after="0" w:line="225" w:lineRule="exact"/>
        <w:rPr>
          <w:rFonts w:ascii="Times New Roman" w:cs="Times New Roman" w:eastAsia="Times New Roman" w:hAnsi="Times New Roman"/>
          <w:sz w:val="23"/>
          <w:szCs w:val="23"/>
          <w:color w:val="auto"/>
          <w:vertAlign w:val="superscript"/>
        </w:rPr>
      </w:pPr>
    </w:p>
    <w:p>
      <w:pPr>
        <w:ind w:left="660" w:hanging="652"/>
        <w:spacing w:after="0" w:line="245" w:lineRule="auto"/>
        <w:tabs>
          <w:tab w:leader="none" w:pos="454"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reflect the full grant-date fair value of PSUs and RSUs granted during the applicable year calculated in accordance with ASC 718, Compensation-Stock Compensation (“ASC 718”), rather than the amounts paid to or realized by the named executive officer. The grant date fair value of the 2024 TSR PSUs was estimated using the Monte Carlo pricing model. The grant date fair value of the 2024 Adjusted EBITDA PSUs, the 2024 Annual Revenue Growth Rate PSUs, and the 2025 Annual Revenue Growth Rate PSUs was estimated using the value of the Company’s common stock on the date of grant, reduced by the present value of dividends expected to be paid on its shares of common stock prior to vesting. We provide information regarding the assumptions used to calculate the value of all PSUs and RSUs made to the named executive officers in Note 14 to our financial statements included in our Annual Report on Form 10-K for the year ending December 31, 2025, filed with the SEC on February 26, 2026.</w:t>
      </w:r>
    </w:p>
    <w:p>
      <w:pPr>
        <w:spacing w:after="0" w:line="22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With respect to the 2024 Adjusted EBITDA PSUs, the 2024 Annual Revenue Growth Rate PSUs and the 2024 TSR PSUs, the number of PSUs that are eligible to vest will be determined based on the Company’s Adjusted EBITDA, annual revenue growth rate, and TSR over the one-year annual performance periods ending December 31, 2025, 2026 and 2027. The highest level of performance that may be achieved for the PSUs is 100% of the number of PSUs awarded. The grant date fair values for the PSUs granted to Messrs. Antokol, Abrahams, Cohen and Korczak during 2024 (assuming performance at the maximum level)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8" w:name="page39"/>
    <w:bookmarkEnd w:id="38"/>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2024 Annual</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2024 Adjusted</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Revenue Growth</w:t>
            </w:r>
          </w:p>
        </w:tc>
        <w:tc>
          <w:tcPr>
            <w:tcW w:w="15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EBITDA</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 TSR PSUs ($)</w:t>
            </w:r>
          </w:p>
        </w:tc>
        <w:tc>
          <w:tcPr>
            <w:tcW w:w="0" w:type="dxa"/>
            <w:vAlign w:val="bottom"/>
          </w:tcPr>
          <w:p>
            <w:pPr>
              <w:spacing w:after="0"/>
              <w:rPr>
                <w:sz w:val="1"/>
                <w:szCs w:val="1"/>
                <w:color w:val="auto"/>
              </w:rPr>
            </w:pPr>
          </w:p>
        </w:tc>
      </w:tr>
      <w:tr>
        <w:trPr>
          <w:trHeight w:val="214"/>
        </w:trPr>
        <w:tc>
          <w:tcPr>
            <w:tcW w:w="5140" w:type="dxa"/>
            <w:vAlign w:val="bottom"/>
            <w:gridSpan w:val="2"/>
            <w:vMerge w:val="continue"/>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Rate PSUs ($)</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PSUs ($)</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Antokol</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7,612,774</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7,612,774</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8,015,124</w:t>
            </w:r>
          </w:p>
        </w:tc>
        <w:tc>
          <w:tcPr>
            <w:tcW w:w="0" w:type="dxa"/>
            <w:vAlign w:val="bottom"/>
          </w:tcPr>
          <w:p>
            <w:pPr>
              <w:spacing w:after="0"/>
              <w:rPr>
                <w:sz w:val="1"/>
                <w:szCs w:val="1"/>
                <w:color w:val="auto"/>
              </w:rPr>
            </w:pPr>
          </w:p>
        </w:tc>
      </w:tr>
      <w:tr>
        <w:trPr>
          <w:trHeight w:val="23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Craig Abrahams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1,998,428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1,998,428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2,104,052</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Cohen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1,249,017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1,249,017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1,315,033</w:t>
            </w:r>
          </w:p>
        </w:tc>
        <w:tc>
          <w:tcPr>
            <w:tcW w:w="0" w:type="dxa"/>
            <w:vAlign w:val="bottom"/>
          </w:tcPr>
          <w:p>
            <w:pPr>
              <w:spacing w:after="0"/>
              <w:rPr>
                <w:sz w:val="1"/>
                <w:szCs w:val="1"/>
                <w:color w:val="auto"/>
              </w:rPr>
            </w:pPr>
          </w:p>
        </w:tc>
      </w:tr>
      <w:tr>
        <w:trPr>
          <w:trHeight w:val="23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Nir Korczak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1,217,791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1,217,791</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1,282,157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With respect to the 2025 Annual Revenue Growth Rate PSUs granted to Mr. Rubin in 2025, the number of PSUs that are eligible to vest will be determined based on the Company’s annual revenue growth rate over the one-year annual performance periods ending December 31, 2026, 2027 and 2028. The highest level of performance that may be achieved for the PSUs is 100% of the number of PSUs awarded. The grant date fair value for the PSUs granted Mr. Rubin during 2025 (assuming performance at the maximum level) was $437,708.</w:t>
      </w:r>
    </w:p>
    <w:p>
      <w:pPr>
        <w:spacing w:after="0" w:line="176" w:lineRule="exact"/>
        <w:rPr>
          <w:sz w:val="20"/>
          <w:szCs w:val="20"/>
          <w:color w:val="auto"/>
        </w:rPr>
      </w:pPr>
    </w:p>
    <w:p>
      <w:pPr>
        <w:ind w:left="312" w:hanging="312"/>
        <w:spacing w:after="0"/>
        <w:tabs>
          <w:tab w:leader="none" w:pos="31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2025, amounts reflect annual bonus payouts pursuant to our annual bonus plan.</w:t>
      </w:r>
    </w:p>
    <w:p>
      <w:pPr>
        <w:spacing w:after="0" w:line="225"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For 2024, amounts reflect payouts pursuant to the named executive officer’s Appreciation Units under the Retention Plan for 2024 (which amounts are calculated and paid in U.S. Dollars for all named executive officers). Those payouts for 2024 are as follows: Mr. Antokol, $27,664,290; Mr. Abrahams, $5,314,117; Mr. Cohen, $2,657,059; and Mr. Korczak, $2,409,367. For 2024, amounts also include annual bonus payouts in the following amounts: Mr. Antokol, $3,011,654; Mr. Abrahams, $1,720,945; Mr. Cohen, $946,520; and Mr. Korczak, $421,632.</w:t>
      </w:r>
    </w:p>
    <w:p>
      <w:pPr>
        <w:spacing w:after="0" w:line="207"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18"/>
          <w:szCs w:val="18"/>
          <w:color w:val="auto"/>
        </w:rPr>
        <w:t>For 2023, amounts reflect payouts pursuant to the named executive officer’s Appreciation Units under the Retention Plan for 2023 (which amounts are calculated and paid in U.S. Dollars for all named executive officers). Those payouts for 2023 are as follows: Mr. Antokol, $30,088,897; Mr. Abrahams, $5,779,867; and Mr. Cohen, $2,889,934. For 2023, amounts also include annual bonus payouts in the following amounts: Mr. Antokol, $4,042,763; Mr. Abrahams, $2,310,151; and Mr. Cohen, $1,270,583.</w:t>
      </w:r>
    </w:p>
    <w:p>
      <w:pPr>
        <w:spacing w:after="0" w:line="207" w:lineRule="exact"/>
        <w:rPr>
          <w:sz w:val="20"/>
          <w:szCs w:val="20"/>
          <w:color w:val="auto"/>
        </w:rPr>
      </w:pPr>
    </w:p>
    <w:p>
      <w:pPr>
        <w:ind w:left="652" w:right="20" w:hanging="652"/>
        <w:spacing w:after="0" w:line="235" w:lineRule="auto"/>
        <w:tabs>
          <w:tab w:leader="none" w:pos="257"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Unless otherwise noted in the footnotes above, the compensation for our named executive officers other than Messrs. Abrahams and Cohen was paid in NIS and have been converted to U.S. Dollars using the average exchange rate for the applicable year based on the applicable payment dates of such compensation as follows: 2025, (NIS 3.43 : USD $1); 2024, (NIS 3.69 : USD $1); and 2023, (NIS 3.69 : USD $1).</w:t>
      </w:r>
    </w:p>
    <w:p>
      <w:pPr>
        <w:spacing w:after="0" w:line="226" w:lineRule="exact"/>
        <w:rPr>
          <w:rFonts w:ascii="Times New Roman" w:cs="Times New Roman" w:eastAsia="Times New Roman" w:hAnsi="Times New Roman"/>
          <w:sz w:val="23"/>
          <w:szCs w:val="23"/>
          <w:color w:val="auto"/>
          <w:vertAlign w:val="superscript"/>
        </w:rPr>
      </w:pPr>
    </w:p>
    <w:p>
      <w:pPr>
        <w:ind w:left="652" w:hanging="652"/>
        <w:spacing w:after="0" w:line="245" w:lineRule="auto"/>
        <w:tabs>
          <w:tab w:leader="none" w:pos="411"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2025, amount reflects (A) costs incurred by the Company for security services of $1,119,000, (B) incremental costs to the Company for the personal use of an aircraft in the amount of $329,000, which amounts were calculated and paid in U.S. Dollars based on the incremental cost per flight hour of Mr. Antokol’s use of the aircraft, (C) tax gross-ups related to Company-paid benefits and business expenses of $4,986, (D) Company contribution to the executive’s severance fund under Section 14 of the Israeli Severance Pay Law-1963 of $8,748, (E) Israeli pension fund contributions of $6,651, and (F) $19,838 that consists of a vehicle allowance, food allowances, holiday-related gifts, long-term disability insurance, gym memberships, contributions by the company to an Israeli educational fund, and contributions by the Company for convalescence pay. We determine the incremental cost of the personal use of our corporate aircraft based on the variable operating costs, which includes actual aircraft fuel expense, crew travel expenses, hangar and parking fees and expenses, average hourly aircraft maintenance expense and other actual incremental costs. Because our aircraft is used primarily for business travel, this methodology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39" w:name="page40"/>
    <w:bookmarkEnd w:id="39"/>
    <w:p>
      <w:pPr>
        <w:ind w:left="660"/>
        <w:spacing w:after="0" w:line="282" w:lineRule="auto"/>
        <w:rPr>
          <w:sz w:val="20"/>
          <w:szCs w:val="20"/>
          <w:color w:val="auto"/>
        </w:rPr>
      </w:pPr>
      <w:r>
        <w:rPr>
          <w:rFonts w:ascii="Times New Roman" w:cs="Times New Roman" w:eastAsia="Times New Roman" w:hAnsi="Times New Roman"/>
          <w:sz w:val="18"/>
          <w:szCs w:val="18"/>
          <w:color w:val="auto"/>
        </w:rPr>
        <w:t>excludes fixed costs that do not change based on usage, such as the salaries of pilots and crew, purchase or lease costs of aircraft, and costs of maintenance and upkeep.</w:t>
      </w:r>
    </w:p>
    <w:p>
      <w:pPr>
        <w:spacing w:after="0" w:line="189" w:lineRule="exact"/>
        <w:rPr>
          <w:sz w:val="20"/>
          <w:szCs w:val="20"/>
          <w:color w:val="auto"/>
        </w:rPr>
      </w:pPr>
    </w:p>
    <w:p>
      <w:pPr>
        <w:ind w:left="660" w:hanging="652"/>
        <w:spacing w:after="0" w:line="229" w:lineRule="auto"/>
        <w:tabs>
          <w:tab w:leader="none" w:pos="371"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Messrs. Abrahams and Cohen for 2025, amounts reflect 401(k) employer matching contribution of $6,621 and contributions by the Company to life insurance policies. Neither Mr. Abrahams nor Mr. Cohen received perquisites with a value that exceeded $10,000, in the aggregate, in 2025.</w:t>
      </w:r>
    </w:p>
    <w:p>
      <w:pPr>
        <w:spacing w:after="0" w:line="225" w:lineRule="exact"/>
        <w:rPr>
          <w:rFonts w:ascii="Times New Roman" w:cs="Times New Roman" w:eastAsia="Times New Roman" w:hAnsi="Times New Roman"/>
          <w:sz w:val="23"/>
          <w:szCs w:val="23"/>
          <w:color w:val="auto"/>
          <w:vertAlign w:val="superscript"/>
        </w:rPr>
      </w:pPr>
    </w:p>
    <w:p>
      <w:pPr>
        <w:ind w:left="660" w:hanging="652"/>
        <w:spacing w:after="0" w:line="239" w:lineRule="auto"/>
        <w:tabs>
          <w:tab w:leader="none" w:pos="332"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2025, amount reflects (A) Company contribution to the executive’s severance fund under Section 14 of the Israeli Severance Pay Law-1963 of $43,742, (B) Israeli pension fund contributions of $30,879, (C) tax gross-ups related to Company-paid benefits and business expenses of $3,282, and (D) $15,685 that consists of transportation allowances, food allowances, holiday-related gifts, long-term disability insurance, gym memberships, contributions by the company to an Israeli educational fund, and contributions by the Company for convalescence pay.</w:t>
      </w:r>
    </w:p>
    <w:p>
      <w:pPr>
        <w:spacing w:after="0" w:line="195"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Rubin was not a named executive officer in 2024 or 2023.</w:t>
      </w:r>
    </w:p>
    <w:p>
      <w:pPr>
        <w:spacing w:after="0" w:line="224" w:lineRule="exact"/>
        <w:rPr>
          <w:rFonts w:ascii="Times New Roman" w:cs="Times New Roman" w:eastAsia="Times New Roman" w:hAnsi="Times New Roman"/>
          <w:sz w:val="23"/>
          <w:szCs w:val="23"/>
          <w:color w:val="auto"/>
          <w:vertAlign w:val="superscript"/>
        </w:rPr>
      </w:pPr>
    </w:p>
    <w:p>
      <w:pPr>
        <w:ind w:left="660" w:hanging="652"/>
        <w:spacing w:after="0" w:line="239" w:lineRule="auto"/>
        <w:tabs>
          <w:tab w:leader="none" w:pos="384"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2025, amount reflects (A) Company contribution to the executive’s severance fund under Section 14 of the Israeli Severance Pay Law-1963 of $38,727, (B) Israeli pension fund contributions of $30,015, (C) tax gross-ups related to Company-paid benefits and business expenses of $3,254, and (D) $11,634 that consists of transportation allowances, food allowances, holiday-related gifts, long-term disability insurance, gym memberships, contributions by the company to an Israeli educational fund, and contributions by the Company for convalescence pay.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 in the Fiscal Year Ended December 31, 2025</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grants of awards to the named executive officers under the Company’s non-equity and equity incentive plans during fiscal year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8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Equity Incentive</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60" w:type="dxa"/>
            <w:vAlign w:val="bottom"/>
            <w:tcBorders>
              <w:bottom w:val="single" w:sz="8" w:color="auto"/>
            </w:tcBorders>
            <w:gridSpan w:val="5"/>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Incentive Plan Awards</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8"/>
                <w:szCs w:val="18"/>
                <w:b w:val="1"/>
                <w:bCs w:val="1"/>
                <w:color w:val="auto"/>
                <w:w w:val="96"/>
                <w:vertAlign w:val="superscript"/>
              </w:rPr>
              <w:t>(2)</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37"/>
        </w:trPr>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6"/>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Stock or Units</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203"/>
        </w:trPr>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Awards ($)</w:t>
            </w:r>
            <w:r>
              <w:rPr>
                <w:rFonts w:ascii="Times New Roman" w:cs="Times New Roman" w:eastAsia="Times New Roman" w:hAnsi="Times New Roman"/>
                <w:sz w:val="18"/>
                <w:szCs w:val="18"/>
                <w:b w:val="1"/>
                <w:bCs w:val="1"/>
                <w:color w:val="auto"/>
                <w:w w:val="96"/>
                <w:vertAlign w:val="superscript"/>
              </w:rPr>
              <w:t>(4)</w:t>
            </w:r>
          </w:p>
        </w:tc>
        <w:tc>
          <w:tcPr>
            <w:tcW w:w="0" w:type="dxa"/>
            <w:vAlign w:val="bottom"/>
          </w:tcPr>
          <w:p>
            <w:pPr>
              <w:spacing w:after="0"/>
              <w:rPr>
                <w:sz w:val="1"/>
                <w:szCs w:val="1"/>
                <w:color w:val="auto"/>
              </w:rPr>
            </w:pPr>
          </w:p>
        </w:tc>
      </w:tr>
      <w:tr>
        <w:trPr>
          <w:trHeight w:val="196"/>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Antokol</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12/17/2024</w:t>
            </w:r>
          </w:p>
        </w:tc>
        <w:tc>
          <w:tcPr>
            <w:tcW w:w="300" w:type="dxa"/>
            <w:vAlign w:val="bottom"/>
            <w:tcBorders>
              <w:top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990,000</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1,980,000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3,960,000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Abrahams</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12/17/2024</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10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Cohen</w:t>
            </w:r>
          </w:p>
        </w:tc>
        <w:tc>
          <w:tcPr>
            <w:tcW w:w="108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12/17/2024</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437,500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Nir Korczak</w:t>
            </w:r>
          </w:p>
        </w:tc>
        <w:tc>
          <w:tcPr>
            <w:tcW w:w="108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12/17/2024</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0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Uri Rubin</w:t>
            </w:r>
          </w:p>
        </w:tc>
        <w:tc>
          <w:tcPr>
            <w:tcW w:w="108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5/7/2025</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221,875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887,500</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11/12/2025</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w w:val="94"/>
              </w:rPr>
              <w:t>(2)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418,250</w:t>
            </w: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11/12/2025</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9"/>
                <w:szCs w:val="9"/>
                <w:color w:val="auto"/>
                <w:w w:val="94"/>
              </w:rPr>
              <w:t>(3)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437,708</w:t>
            </w:r>
          </w:p>
        </w:tc>
        <w:tc>
          <w:tcPr>
            <w:tcW w:w="0" w:type="dxa"/>
            <w:vAlign w:val="bottom"/>
          </w:tcPr>
          <w:p>
            <w:pPr>
              <w:spacing w:after="0"/>
              <w:rPr>
                <w:sz w:val="1"/>
                <w:szCs w:val="1"/>
                <w:color w:val="auto"/>
              </w:rPr>
            </w:pPr>
          </w:p>
        </w:tc>
      </w:tr>
      <w:tr>
        <w:trPr>
          <w:trHeight w:val="23"/>
        </w:trPr>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12" w:lineRule="exact"/>
        <w:rPr>
          <w:sz w:val="20"/>
          <w:szCs w:val="20"/>
          <w:color w:val="auto"/>
        </w:rPr>
      </w:pPr>
    </w:p>
    <w:p>
      <w:pPr>
        <w:ind w:left="660" w:hanging="652"/>
        <w:spacing w:after="0" w:line="235" w:lineRule="auto"/>
        <w:tabs>
          <w:tab w:leader="none" w:pos="362"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shown represent the threshold, target and maximum amounts that could have been paid to the named executive officers under the 2025 annual bonus plan. The annual bonus payouts were determined based on the results of Adjusted EBITDA for the 2025 calendar year. For additional information on the 2025 annual bonuses, see “Compensation Discussion and Analysis—Annual Bonus Plan” above.</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344"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shown represent the RSUs granted to Mr. Rubin in 2025. For additional information on the RSUs granted to Mr. Rubin during 2025, see “Compensation Discussion and Analysis—Equity Compensation—2025 Restricted Stock Unit Awards” above.</w:t>
      </w:r>
    </w:p>
    <w:p>
      <w:pPr>
        <w:spacing w:after="0" w:line="225" w:lineRule="exact"/>
        <w:rPr>
          <w:rFonts w:ascii="Times New Roman" w:cs="Times New Roman" w:eastAsia="Times New Roman" w:hAnsi="Times New Roman"/>
          <w:sz w:val="23"/>
          <w:szCs w:val="23"/>
          <w:color w:val="auto"/>
          <w:vertAlign w:val="superscript"/>
        </w:rPr>
      </w:pPr>
    </w:p>
    <w:p>
      <w:pPr>
        <w:ind w:left="660" w:right="20" w:hanging="652"/>
        <w:spacing w:after="0" w:line="229" w:lineRule="auto"/>
        <w:tabs>
          <w:tab w:leader="none" w:pos="334"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shown represent the 2025 Annual Growth Rate PSUs granted to Mr. Rubin in 2025 and the target number of 2025 PSUs pursuant to such award. The number of 2025 PSUs that are eligible to vest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be determined based on the Company’s annual revenue growth rate over the one-year annual performance periods ending December 31, 2026, 2027 and 2028. The highest level of performance that may be achieved for the PSUs is 100% of the number of PSUs awarded. For additional information on the 2025 PSUs granted to Mr. Rubin during 2025, see “Compensation Discussion and Analysis—Equity Compensation—2025 Performance Stock Unit Awards” above.</w:t>
      </w:r>
    </w:p>
    <w:p>
      <w:pPr>
        <w:spacing w:after="0" w:line="207" w:lineRule="exact"/>
        <w:rPr>
          <w:sz w:val="20"/>
          <w:szCs w:val="20"/>
          <w:color w:val="auto"/>
        </w:rPr>
      </w:pPr>
    </w:p>
    <w:p>
      <w:pPr>
        <w:ind w:left="660" w:hanging="652"/>
        <w:spacing w:after="0" w:line="239" w:lineRule="auto"/>
        <w:tabs>
          <w:tab w:leader="none" w:pos="329"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reflect the full grant-date fair value of RSUs granted in 2025, each calculated in accordance with ASC 718 rather than the amounts paid to or realized by the named executive officer. We provide information regarding the assumptions used to calculate the value of all RSUs made to the named executive officers in Note 14 to our financial statements included in our Annual Report on Form 10-K for the year ending December 31, 2025, filed with the SEC on 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Fiscal Year-End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outstanding equity awards held by our named executive officers at December 31, 2025. Stock awards were granted pursuant to our 2020 Plan.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3"/>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9"/>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3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36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 of Shares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3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380" w:type="dxa"/>
            <w:vAlign w:val="bottom"/>
          </w:tcPr>
          <w:p>
            <w:pPr>
              <w:spacing w:after="0"/>
              <w:rPr>
                <w:sz w:val="11"/>
                <w:szCs w:val="11"/>
                <w:color w:val="auto"/>
              </w:rPr>
            </w:pPr>
          </w:p>
        </w:tc>
        <w:tc>
          <w:tcPr>
            <w:tcW w:w="15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Unearned Shares, Units</w:t>
            </w:r>
          </w:p>
        </w:tc>
        <w:tc>
          <w:tcPr>
            <w:tcW w:w="0" w:type="dxa"/>
            <w:vAlign w:val="bottom"/>
          </w:tcPr>
          <w:p>
            <w:pPr>
              <w:spacing w:after="0"/>
              <w:rPr>
                <w:sz w:val="1"/>
                <w:szCs w:val="1"/>
                <w:color w:val="auto"/>
              </w:rPr>
            </w:pPr>
          </w:p>
        </w:tc>
      </w:tr>
      <w:tr>
        <w:trPr>
          <w:trHeight w:val="146"/>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4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of Stock that Have</w:t>
            </w:r>
          </w:p>
        </w:tc>
        <w:tc>
          <w:tcPr>
            <w:tcW w:w="360" w:type="dxa"/>
            <w:vAlign w:val="bottom"/>
          </w:tcPr>
          <w:p>
            <w:pPr>
              <w:spacing w:after="0"/>
              <w:rPr>
                <w:sz w:val="12"/>
                <w:szCs w:val="12"/>
                <w:color w:val="auto"/>
              </w:rPr>
            </w:pPr>
          </w:p>
        </w:tc>
        <w:tc>
          <w:tcPr>
            <w:tcW w:w="16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or Units of Stock that</w:t>
            </w: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38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0" w:type="dxa"/>
            <w:vAlign w:val="bottom"/>
          </w:tcPr>
          <w:p>
            <w:pPr>
              <w:spacing w:after="0"/>
              <w:rPr>
                <w:sz w:val="1"/>
                <w:szCs w:val="1"/>
                <w:color w:val="auto"/>
              </w:rPr>
            </w:pPr>
          </w:p>
        </w:tc>
      </w:tr>
      <w:tr>
        <w:trPr>
          <w:trHeight w:val="198"/>
        </w:trPr>
        <w:tc>
          <w:tcPr>
            <w:tcW w:w="2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36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 Vested ($)</w:t>
            </w:r>
            <w:r>
              <w:rPr>
                <w:rFonts w:ascii="Times New Roman" w:cs="Times New Roman" w:eastAsia="Times New Roman" w:hAnsi="Times New Roman"/>
                <w:sz w:val="9"/>
                <w:szCs w:val="9"/>
                <w:b w:val="1"/>
                <w:bCs w:val="1"/>
                <w:color w:val="auto"/>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3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7"/>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Robert Antokol</w:t>
            </w: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2/7/2022</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202,703</w:t>
            </w:r>
          </w:p>
        </w:tc>
        <w:tc>
          <w:tcPr>
            <w:tcW w:w="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800,677</w:t>
            </w:r>
          </w:p>
        </w:tc>
        <w:tc>
          <w:tcPr>
            <w:tcW w:w="10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1,593,464</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6,294,183</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398,366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1,573,546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796,732</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3,147,091</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398,366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1,573,546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796,732</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3,147,091</w:t>
            </w:r>
          </w:p>
        </w:tc>
        <w:tc>
          <w:tcPr>
            <w:tcW w:w="0" w:type="dxa"/>
            <w:vAlign w:val="bottom"/>
          </w:tcPr>
          <w:p>
            <w:pPr>
              <w:spacing w:after="0"/>
              <w:rPr>
                <w:sz w:val="1"/>
                <w:szCs w:val="1"/>
                <w:color w:val="auto"/>
              </w:rPr>
            </w:pPr>
          </w:p>
        </w:tc>
      </w:tr>
      <w:tr>
        <w:trPr>
          <w:trHeight w:val="206"/>
        </w:trPr>
        <w:tc>
          <w:tcPr>
            <w:tcW w:w="2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1,593,464</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6,294,183</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Craig Abrahams</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2/7/2022</w:t>
            </w:r>
          </w:p>
        </w:tc>
        <w:tc>
          <w:tcPr>
            <w:tcW w:w="1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94,595</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373,650</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418,301</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1,652,289</w:t>
            </w:r>
          </w:p>
        </w:tc>
        <w:tc>
          <w:tcPr>
            <w:tcW w:w="0" w:type="dxa"/>
            <w:vAlign w:val="bottom"/>
          </w:tcPr>
          <w:p>
            <w:pPr>
              <w:spacing w:after="0"/>
              <w:rPr>
                <w:sz w:val="1"/>
                <w:szCs w:val="1"/>
                <w:color w:val="auto"/>
              </w:rPr>
            </w:pPr>
          </w:p>
        </w:tc>
      </w:tr>
      <w:tr>
        <w:trPr>
          <w:trHeight w:val="202"/>
        </w:trPr>
        <w:tc>
          <w:tcPr>
            <w:tcW w:w="25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104,575</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413,071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209,150</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826,143</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104,575</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413,071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209,150</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826,143</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418,301</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1,652,289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Cohen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2/7/2022</w:t>
            </w:r>
          </w:p>
        </w:tc>
        <w:tc>
          <w:tcPr>
            <w:tcW w:w="1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50,676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200,170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261,438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1,032,680</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65,359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258,168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130,719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516,340</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65,359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258,168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130,719</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516,340</w:t>
            </w:r>
          </w:p>
        </w:tc>
        <w:tc>
          <w:tcPr>
            <w:tcW w:w="0" w:type="dxa"/>
            <w:vAlign w:val="bottom"/>
          </w:tcPr>
          <w:p>
            <w:pPr>
              <w:spacing w:after="0"/>
              <w:rPr>
                <w:sz w:val="1"/>
                <w:szCs w:val="1"/>
                <w:color w:val="auto"/>
              </w:rPr>
            </w:pPr>
          </w:p>
        </w:tc>
      </w:tr>
      <w:tr>
        <w:trPr>
          <w:trHeight w:val="206"/>
        </w:trPr>
        <w:tc>
          <w:tcPr>
            <w:tcW w:w="2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261,438</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1,032,680</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Nir Korczak</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2/7/2022</w:t>
            </w:r>
          </w:p>
        </w:tc>
        <w:tc>
          <w:tcPr>
            <w:tcW w:w="1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37,163</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(2)</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146,794</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254,902</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1,006,863</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63,725</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251,714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127,451</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503,431</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63,725</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251,714</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127,451</w:t>
            </w:r>
          </w:p>
        </w:tc>
        <w:tc>
          <w:tcPr>
            <w:tcW w:w="380" w:type="dxa"/>
            <w:vAlign w:val="bottom"/>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503,431</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254,902</w:t>
            </w:r>
          </w:p>
        </w:tc>
        <w:tc>
          <w:tcPr>
            <w:tcW w:w="360" w:type="dxa"/>
            <w:vAlign w:val="bottom"/>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1,006,863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Uri Rubin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2/7/2022</w:t>
            </w:r>
          </w:p>
        </w:tc>
        <w:tc>
          <w:tcPr>
            <w:tcW w:w="1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12/20/2023</w:t>
            </w:r>
          </w:p>
        </w:tc>
        <w:tc>
          <w:tcPr>
            <w:tcW w:w="1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203,703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804,627</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104,576</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413,075</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26,143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206,538</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26,143</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103,265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52,288</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(7)</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206,538</w:t>
            </w:r>
          </w:p>
        </w:tc>
        <w:tc>
          <w:tcPr>
            <w:tcW w:w="0" w:type="dxa"/>
            <w:vAlign w:val="bottom"/>
          </w:tcPr>
          <w:p>
            <w:pPr>
              <w:spacing w:after="0"/>
              <w:rPr>
                <w:sz w:val="1"/>
                <w:szCs w:val="1"/>
                <w:color w:val="auto"/>
              </w:rPr>
            </w:pPr>
          </w:p>
        </w:tc>
      </w:tr>
      <w:tr>
        <w:trPr>
          <w:trHeight w:val="203"/>
        </w:trPr>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12/18/2024</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104,576</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413,075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3"/>
        </w:trPr>
        <w:tc>
          <w:tcPr>
            <w:tcW w:w="2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11/12/2025</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(12)</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493,750</w:t>
            </w:r>
          </w:p>
        </w:tc>
        <w:tc>
          <w:tcPr>
            <w:tcW w:w="0" w:type="dxa"/>
            <w:vAlign w:val="bottom"/>
          </w:tcPr>
          <w:p>
            <w:pPr>
              <w:spacing w:after="0"/>
              <w:rPr>
                <w:sz w:val="1"/>
                <w:szCs w:val="1"/>
                <w:color w:val="auto"/>
              </w:rPr>
            </w:pPr>
          </w:p>
        </w:tc>
      </w:tr>
      <w:tr>
        <w:trPr>
          <w:trHeight w:val="188"/>
        </w:trPr>
        <w:tc>
          <w:tcPr>
            <w:tcW w:w="2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11/12/2025</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125,000</w:t>
            </w:r>
          </w:p>
        </w:tc>
        <w:tc>
          <w:tcPr>
            <w:tcW w:w="360" w:type="dxa"/>
            <w:vAlign w:val="bottom"/>
            <w:vMerge w:val="continue"/>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493,750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660" w:hanging="652"/>
        <w:spacing w:after="0" w:line="229" w:lineRule="auto"/>
        <w:tabs>
          <w:tab w:leader="none" w:pos="363"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market value of RSUs and PSUs that have not vested is calculated by multiplying the number of unvested units outstanding under the award by $3.95, which was the closing share price of our common stock as of December 31, 2025, the last trading day of 2025.</w:t>
      </w:r>
    </w:p>
    <w:p>
      <w:pPr>
        <w:spacing w:after="0" w:line="225"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38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PSUs that vested in February 2026. The fourth annual performance period for the 2022 PSUs concluded on December 31, 2025. In February 2026, the Compensation Committee determined the Company’s annual revenue growth rate during 2025, which resulted in a revenue growth achievement percentage of 100%. As a result, these PSUs were eligible to vest with respect to the 2025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subject to the named executive officers’ continued employment through the determination date in February 2026.</w:t>
      </w:r>
    </w:p>
    <w:p>
      <w:pPr>
        <w:spacing w:after="0" w:line="252" w:lineRule="exact"/>
        <w:rPr>
          <w:sz w:val="20"/>
          <w:szCs w:val="20"/>
          <w:color w:val="auto"/>
        </w:rPr>
      </w:pPr>
    </w:p>
    <w:p>
      <w:pPr>
        <w:ind w:left="660" w:hanging="652"/>
        <w:spacing w:after="0" w:line="235" w:lineRule="auto"/>
        <w:tabs>
          <w:tab w:leader="none" w:pos="375"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PSUs that remain eligible to vest based on the Company’s total shareholder return over the one-year annual performance periods ending December 31, 2026 and 2027. The number of PSUs in which a named executive officer remains eligible to vest is reported in the “Equity Incentive Plan Awards: Number of Unearned Shares, Units or Other Rights That Have Not Vested” column assuming performance at 100%.</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39" w:lineRule="auto"/>
        <w:tabs>
          <w:tab w:leader="none" w:pos="332"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PSUs that vested in February 2026. The first annual performance period for the 2024 Annual Revenue Growth Rate PSUs concluded on December 31, 2025. In February 2026, the Compensation Committee determined the Company’s annual revenue growth rate during 2025, which resulted in a revenue growth achievement percentage of 100%. As a result, these PSUs were eligible to vest with respect to the 2025 performance, subject to the named executive officers’ continued employment through the determination date in February 2026.</w:t>
      </w:r>
    </w:p>
    <w:p>
      <w:pPr>
        <w:spacing w:after="0" w:line="225"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328"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PSUs that remain eligible to vest based on the Company’s annual revenue growth rate over the one-year annual performance periods ending December 31, 2026 and 2027. The number of PSUs in which a named executive officer remains eligible to vest is reported in the “Equity Incentive Plan Awards: Number of Unearned Shares, Units or Other Rights That Have Not Vested” column assuming performance at 100%.</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39" w:lineRule="auto"/>
        <w:tabs>
          <w:tab w:leader="none" w:pos="337"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PSUs that vested in February 2026. The first annual performance period for the 2024 Adjusted EBITDA PSUs concluded on December 31, 2025. In February 2026, the Compensation Committee determined the Company’s Adjusted EBITDA for 2025, which resulted in an Adjusted EBITDA achievement percentage of 100%. As a result, these PSUs were eligible to vest with respect to the 2025 performance, subject to the named executive officers’ continued employment through the determination date in February 2026.</w:t>
      </w:r>
    </w:p>
    <w:p>
      <w:pPr>
        <w:spacing w:after="0" w:line="225" w:lineRule="exact"/>
        <w:rPr>
          <w:rFonts w:ascii="Times New Roman" w:cs="Times New Roman" w:eastAsia="Times New Roman" w:hAnsi="Times New Roman"/>
          <w:sz w:val="23"/>
          <w:szCs w:val="23"/>
          <w:color w:val="auto"/>
          <w:vertAlign w:val="superscript"/>
        </w:rPr>
      </w:pPr>
    </w:p>
    <w:p>
      <w:pPr>
        <w:ind w:left="660" w:right="20" w:hanging="652"/>
        <w:spacing w:after="0" w:line="235" w:lineRule="auto"/>
        <w:tabs>
          <w:tab w:leader="none" w:pos="434"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PSUs that remain eligible to vest based on the Company’s Adjusted EBITDA over the one-year annual performance periods ending December 31, 2026 and 2027. The number of PSUs in which a named executive officer remains eligible to vest is reported in the “Equity Incentive Plan Awards: Number of Unearned Shares, Units or Other Rights That Have Not Vested” column assuming performance at 100%.</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444"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RSUs will vest quarterly in substantially equal installments over the three-year period commencing on December 18, 2024, subject to the participant’s continued service on the applicable vesting date.</w:t>
      </w:r>
    </w:p>
    <w:p>
      <w:pPr>
        <w:spacing w:after="0" w:line="225"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333"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RSUs will vest over the four-year period commencing on February 2, 2022, subject to the participant’s continued service on the applicable vesting date. One quarter of the total award will vest on the first anniversary of the grant date and the remaining amount will vest quarterly in equal installments over the remaining three years.</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446"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RSUs will vest over the five-year period commencing on December 20, 2023, subject to the participant’s continued service on the applicable vesting date. 12.5% of the total award vested on June 30, 2025, and the remaining amount will vest quarterly in equal installments over the remaining three and one half years.</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463"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PSUs that remain eligible to vest based on the Company’s annual revenue growth rate over the one-year annual performance periods ending December 31, 2026, 2027 and 2028. The number of PSUs in which Mr. Rubin remains eligible to vest is reported in the “Equity Incentive Plan Awards: Number of Unearned Shares, Units or Other Rights That Have Not Vested” column assuming performance at 100%.</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431"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RSUs will vest over the three-year period commencing on November 12, 2025, subject to the participant’s continued service on the applicable vesting date. One-third of the total award will vest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first anniversary of the grant date and the remaining amount will vest quarterly in equal installments over the remaining two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in 2025</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shows the number of shares of common stock subject to RSUs and PSUs that vested during 2025. None of our named executive officers exercised any stock options during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Pr>
          <w:p>
            <w:pPr>
              <w:jc w:val="right"/>
              <w:ind w:right="162"/>
              <w:spacing w:after="0" w:line="12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203"/>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Acquired on Vesting (#)</w:t>
            </w:r>
          </w:p>
        </w:tc>
        <w:tc>
          <w:tcPr>
            <w:tcW w:w="1560" w:type="dxa"/>
            <w:vAlign w:val="bottom"/>
          </w:tcPr>
          <w:p>
            <w:pPr>
              <w:jc w:val="right"/>
              <w:ind w:right="322"/>
              <w:spacing w:after="0" w:line="202"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Robert Antokol</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796,757</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3,376,337</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Craig Abrahams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337,150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1,428,673</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Cohen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983,324</w:t>
            </w:r>
          </w:p>
        </w:tc>
        <w:tc>
          <w:tcPr>
            <w:tcW w:w="0" w:type="dxa"/>
            <w:vAlign w:val="bottom"/>
          </w:tcPr>
          <w:p>
            <w:pPr>
              <w:spacing w:after="0"/>
              <w:rPr>
                <w:sz w:val="1"/>
                <w:szCs w:val="1"/>
                <w:color w:val="auto"/>
              </w:rPr>
            </w:pPr>
          </w:p>
        </w:tc>
      </w:tr>
      <w:tr>
        <w:trPr>
          <w:trHeight w:val="21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Nir Korczak</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189,344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826,085</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Uri Rubin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556,067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2"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value realized on the vesting of stock awards is based on the closing price of our common stock on the applicable vesting date of the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Non-Qualified Deferred Compensation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named executive officers participated in any pension or non-qualified deferred compensation plans during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employment agreements with each of Messrs. Antokol, Korczak and Rubin, as described below. Any potential payments and benefits due upon a termination of employment or a change in control under the employment agreements with our named executive officers are quantified below in “Potential Payments upon Termination or Change in Control.”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Antokol Employment Agreement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2011, we entered into an employment agreement with Robert Antokol, our Chief Executive Officer and President. The employment agreement, as amended, is not for any specific term and may be terminated by either party upon six months’ prior written notice, or immediately by us for cause.</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employment agreement, Mr. Antokol is entitled to the annual base salary described above, which may be increased from time to time. Mr. Antokol is also entitled to a monthly vehicle allowance which is in lieu of the transportation expense reimbursement required by Israeli law and provided to all full-time Israeli employees, and use of a company cell phone. We also make monthly contributions on Mr. Antokol’s behalf to funds administered by financial institutions for certain pension, severance and disability benefits and certain non-obligatory contributions to an education fund for Mr. Antokol, as further described above under “Compensation Discussion and Analysis-Retirement and Other Benefits-Benefits to Israeli Employees.” In the event that Mr. Antokol’s employment is terminated for any reason other than for cause, he will be entitled to receive all amounts accrued in the fund or policy to which the company’s severance contributions were paid during his employment. Mr. Antokol has agreed to waive any claim for statutory severance pay beyond the mutually agreed upon severance contributions by the Company on Mr. Antokol’s behalf as described above under “Compensation Discussion and Analysis-Retirement and Other Benefits-Benefits to Israeli Employees.” In addition, in the event we terminate Mr. Antokol’s employment other than for cause, or he resigns for good reason, in each case as defined in his employment agreement, we will be obligated to pay him a lump sum cash payment equal to six months’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Antokol’s employment agreement is governed by the laws of the State of Israel. In connection with his employment agreement, Mr. Antokol also executed a confidentiality, unfair competition and intellectual property assignment agreement, which contains non-solicitation and non-competition covenants (each of which remains in effect during the term of employment and for a period of 12 months following termination of employment), confidentiality and assignment of invention covenants.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Mr. Antokol’s employment agreement, “cause” means: (1) his willful failure to substantially perform his duties or to follow a lawful, reasonable directive from the Board (other than any such failure resulting from incapacity due to physical or mental illness), after a written demand for substantial performance is delivered by the Board which specifically identifies the failure and such failure continues for a reasonable time thereafter,; (2) his willful act of fraud, embezzlement or theft, (3) his admission in any court, or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(excluding offenses with respect traffic violations), (4) a finding that he is unsuitable for a gaming license or that his gaming license should be denied or revoked by the gaming regulatory authorities, (5) his willful and material violation of, or noncompliance with, any securities laws or stock exchange listing rules, provided that such violation or noncompliance resulted in material economic harm to us or our affiliates, or (6) if the Board, in good faith, believes that he is or might be engaged in or is about to be engaged in any activity or activities which could adversely affect our business, after a written demand for substantial performance is delivered to him by the Board which specifically identifies such activity and his failure to demonstrate that he is not engaged in such activity.</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Mr. Antokol’s employment agreement, “good reason” means the occurrence, described in a written notice of termination of employment to us from Mr. Antokol, of any of the following circumstances without his express prior written consent, unless such circumstances are fully corrected to his full satisfaction within 30 days following delivery of such written notice: (1) a reduction by us in his annual base salary or other benefits; (2) our requiring him to be based anywhere more than 60 kilometers from his existing primary business location, (3) our failure to pay him any portion of his compensation within ten days of the date on which such compensation is due, (4) a material diminution of his duties or responsibilities, or (5) our material breach of his employment agreement which is not cured within 30 days following written notice by him to us of such breach.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with Other Named Executive Officers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2017 and December 2016, we entered into an employment agreement with each of Nir Korczak, our Chief Marketing Officer, and Uri Rubin, our Chief Technology Officer, respectively, through our subsidiary, Playtika Ltd. Each executive’s employment agreement, as may have been amended, is not for any specific term and may be terminated by either party upon 30 days’ prior written notice, or immediately by us for cause.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each of Messrs. Korczak or Rubin’s employment agreement, Messrs. Korczak and Rubin are entitled to an annual base salary, which has increased over time. Messrs. Korczak and Rubin receive a monthly transportation allowance as required by Israeli law and provided to all full-time Israeli employees on the same basis. Both Messrs. Korczak and Rubin are entitled to payment for the use of a company cell phone. We also make monthly contributions on each executive’s behalf to funds administered by financial institutions for certain pension, severance and disability benefits and certain non-obligatory contributions to an education fund for each executive, as further described above under “Compensation Discussion and Analysis-Retirement and Other Benefits-Benefits to Israeli Employees.” In the event that an executive’s employment is terminated for any reason other than for cause, the executive will be entitled to receive all amounts accrued in the executive’s fund or policy to which the company’s severance contributions were paid during his employment.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Messrs. Korczak and Rubin’s employment agreement is governed by the laws of the State of Israel. In connection with their employment agreements, each executive also executed a confidentiality, inventions, non-competition and non-solicitation agreement, which contains non-solicitation and non-competition covenants (each of which remains in effect during the term of employment and for a period of twelve months following termination of employment) and confidentiality and assignment of invention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Messrs. Korczak and Rubin’s employment agreements, “cause” means (1) his commission of a criminal offense, (2) his breach of duties of trust or loyalty to the company, (3) his material breach of the employment agreement which has not been cured within 15 days after receipt of notice from the company containing a description of such breach, (4) his deliberate cause of harm to the Company’s business affairs, (5) his breach of any of the provisions of the confidentiality, inventions, non-competition and non-solicitation agreement, and/or (6) circumstances that constitute “cause” or do not entitle him to severance payments under any applicable law and/or under any judicial decision of a competent tribunal.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Agreement with Craig Abrahams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resignation of Craig Abrahams, our former President and Chief Financial Officer, the Company entered into a separation agreement with Mr. Abrahams pursuant to which (1) the Company agreed to allow Mr. Abrahams to keep the laptop and cellphone he used in connection with his employment, (2) the Company agreed to pay the premium for health, dental and vision coverage under the Consolidated Omnibus Reconciliation Act, as amended, for Mr. Abrahams and his family through December 31, 2026; in each case, subject to Mr. Abrahams’ execution and non-revocation of a customary release of claims against the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each of our named executive officers if his or her employment had terminated on December 31, 2025, as a result of each of the termination scenarios described below, or in the event of a change in control of the company on December 31, 2025. The severance funds provided to our Israel-based named executive officers under the third-party severance funds to which the company contributes under applicable law, as described above under “Employment Agreements,” are not included in the table below as those benefits are provided on a non-discriminatory basis to all Israel-based employees. The values for RSU and PSU award acceleration in the table below assume a fair market value per share of $3.95, which is the closing price of our common stock on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80" w:type="dxa"/>
            <w:vAlign w:val="bottom"/>
          </w:tcPr>
          <w:p>
            <w:pPr>
              <w:spacing w:after="0"/>
              <w:rPr>
                <w:sz w:val="16"/>
                <w:szCs w:val="16"/>
                <w:color w:val="auto"/>
              </w:rPr>
            </w:pPr>
          </w:p>
        </w:tc>
        <w:tc>
          <w:tcPr>
            <w:tcW w:w="5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Severance ($)</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PSU Acceleration</w:t>
            </w: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20" w:type="dxa"/>
            <w:vAlign w:val="bottom"/>
            <w:gridSpan w:val="2"/>
            <w:vMerge w:val="continue"/>
          </w:tcPr>
          <w:p>
            <w:pPr>
              <w:spacing w:after="0"/>
              <w:rPr>
                <w:sz w:val="14"/>
                <w:szCs w:val="14"/>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9"/>
                <w:szCs w:val="9"/>
                <w:b w:val="1"/>
                <w:bCs w:val="1"/>
                <w:color w:val="auto"/>
              </w:rPr>
              <w:t>(1)</w:t>
            </w:r>
          </w:p>
        </w:tc>
        <w:tc>
          <w:tcPr>
            <w:tcW w:w="200" w:type="dxa"/>
            <w:vAlign w:val="bottom"/>
          </w:tcPr>
          <w:p>
            <w:pPr>
              <w:spacing w:after="0"/>
              <w:rPr>
                <w:sz w:val="14"/>
                <w:szCs w:val="14"/>
                <w:color w:val="auto"/>
              </w:rPr>
            </w:pPr>
          </w:p>
        </w:tc>
        <w:tc>
          <w:tcPr>
            <w:tcW w:w="1220" w:type="dxa"/>
            <w:vAlign w:val="bottom"/>
          </w:tcPr>
          <w:p>
            <w:pPr>
              <w:jc w:val="right"/>
              <w:ind w:right="411"/>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7"/>
                <w:szCs w:val="7"/>
                <w:b w:val="1"/>
                <w:bCs w:val="1"/>
                <w:color w:val="auto"/>
              </w:rPr>
              <w:t>(2)</w:t>
            </w:r>
          </w:p>
        </w:tc>
        <w:tc>
          <w:tcPr>
            <w:tcW w:w="8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3"/>
        </w:trPr>
        <w:tc>
          <w:tcPr>
            <w:tcW w:w="1620" w:type="dxa"/>
            <w:vAlign w:val="bottom"/>
            <w:tcBorders>
              <w:top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4"/>
                <w:szCs w:val="14"/>
                <w:color w:val="auto"/>
              </w:rPr>
              <w:t>Robert Antokol</w:t>
            </w:r>
          </w:p>
        </w:tc>
        <w:tc>
          <w:tcPr>
            <w:tcW w:w="80" w:type="dxa"/>
            <w:vAlign w:val="bottom"/>
            <w:tcBorders>
              <w:top w:val="single" w:sz="8" w:color="CCEEFF"/>
            </w:tcBorders>
            <w:shd w:val="clear" w:color="auto" w:fill="CCEEFF"/>
          </w:tcPr>
          <w:p>
            <w:pPr>
              <w:spacing w:after="0"/>
              <w:rPr>
                <w:sz w:val="11"/>
                <w:szCs w:val="11"/>
                <w:color w:val="auto"/>
              </w:rPr>
            </w:pPr>
          </w:p>
        </w:tc>
        <w:tc>
          <w:tcPr>
            <w:tcW w:w="55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1,039,724</w:t>
            </w:r>
          </w:p>
        </w:tc>
        <w:tc>
          <w:tcPr>
            <w:tcW w:w="2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3,947,768</w:t>
            </w:r>
          </w:p>
        </w:tc>
        <w:tc>
          <w:tcPr>
            <w:tcW w:w="8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4,987,492</w:t>
            </w: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apart from Change in Control</w:t>
            </w:r>
          </w:p>
        </w:tc>
        <w:tc>
          <w:tcPr>
            <w:tcW w:w="12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16,536,134</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16,536,134</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with Change in Control</w:t>
            </w:r>
          </w:p>
        </w:tc>
        <w:tc>
          <w:tcPr>
            <w:tcW w:w="140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Craig Abrahams</w:t>
            </w:r>
          </w:p>
        </w:tc>
        <w:tc>
          <w:tcPr>
            <w:tcW w:w="80" w:type="dxa"/>
            <w:vAlign w:val="bottom"/>
          </w:tcPr>
          <w:p>
            <w:pPr>
              <w:spacing w:after="0"/>
              <w:rPr>
                <w:sz w:val="12"/>
                <w:szCs w:val="12"/>
                <w:color w:val="auto"/>
              </w:rPr>
            </w:pPr>
          </w:p>
        </w:tc>
        <w:tc>
          <w:tcPr>
            <w:tcW w:w="56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1,199,793</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1,199,793</w:t>
            </w: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apart from Change in Control</w:t>
            </w:r>
          </w:p>
        </w:tc>
        <w:tc>
          <w:tcPr>
            <w:tcW w:w="14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4,504,367</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4,504,367</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with Change in Control</w:t>
            </w:r>
          </w:p>
        </w:tc>
        <w:tc>
          <w:tcPr>
            <w:tcW w:w="14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Michael Cohen</w:t>
            </w:r>
          </w:p>
        </w:tc>
        <w:tc>
          <w:tcPr>
            <w:tcW w:w="8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716,506</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716,506</w:t>
            </w: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apart from Change in Control</w:t>
            </w:r>
          </w:p>
        </w:tc>
        <w:tc>
          <w:tcPr>
            <w:tcW w:w="1400" w:type="dxa"/>
            <w:vAlign w:val="bottom"/>
            <w:gridSpan w:val="2"/>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2,781,867</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2,781,867</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with Change in Control</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Nir Korczak</w:t>
            </w:r>
          </w:p>
        </w:tc>
        <w:tc>
          <w:tcPr>
            <w:tcW w:w="80" w:type="dxa"/>
            <w:vAlign w:val="bottom"/>
          </w:tcPr>
          <w:p>
            <w:pPr>
              <w:spacing w:after="0"/>
              <w:rPr>
                <w:sz w:val="12"/>
                <w:szCs w:val="12"/>
                <w:color w:val="auto"/>
              </w:rPr>
            </w:pPr>
          </w:p>
        </w:tc>
        <w:tc>
          <w:tcPr>
            <w:tcW w:w="562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650,221</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650,221</w:t>
            </w:r>
          </w:p>
        </w:tc>
        <w:tc>
          <w:tcPr>
            <w:tcW w:w="0" w:type="dxa"/>
            <w:vAlign w:val="bottom"/>
          </w:tcPr>
          <w:p>
            <w:pPr>
              <w:spacing w:after="0"/>
              <w:rPr>
                <w:sz w:val="1"/>
                <w:szCs w:val="1"/>
                <w:color w:val="auto"/>
              </w:rPr>
            </w:pPr>
          </w:p>
        </w:tc>
      </w:tr>
      <w:tr>
        <w:trPr>
          <w:trHeight w:val="188"/>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apart from Change in Control</w:t>
            </w:r>
          </w:p>
        </w:tc>
        <w:tc>
          <w:tcPr>
            <w:tcW w:w="14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2,663,947</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2,663,947</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with Change in Control</w:t>
            </w:r>
          </w:p>
        </w:tc>
        <w:tc>
          <w:tcPr>
            <w:tcW w:w="140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Uri Rubin</w:t>
            </w:r>
          </w:p>
        </w:tc>
        <w:tc>
          <w:tcPr>
            <w:tcW w:w="8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206,530</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206,530</w:t>
            </w: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apart from Change in Control</w:t>
            </w:r>
          </w:p>
        </w:tc>
        <w:tc>
          <w:tcPr>
            <w:tcW w:w="1400" w:type="dxa"/>
            <w:vAlign w:val="bottom"/>
            <w:gridSpan w:val="2"/>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Termination without Cause or Resignation for Good Reason</w:t>
            </w:r>
          </w:p>
        </w:tc>
        <w:tc>
          <w:tcPr>
            <w:tcW w:w="14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1,526,430</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1,526,430</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with Change in Control</w:t>
            </w:r>
          </w:p>
        </w:tc>
        <w:tc>
          <w:tcPr>
            <w:tcW w:w="140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660" w:right="20" w:hanging="652"/>
        <w:spacing w:after="0" w:line="229" w:lineRule="auto"/>
        <w:tabs>
          <w:tab w:leader="none" w:pos="36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six months base salary for Mr. Antokol payable upon our termination of his employment other than for cause or his resignation for good reason under his employment agreement, payable in a lump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The amount reflected in this column is based on Mr. Antokol’s base salary for 2025 as reflected in the Summary Compensation Table.</w:t>
      </w:r>
    </w:p>
    <w:p>
      <w:pPr>
        <w:spacing w:after="0" w:line="252" w:lineRule="exact"/>
        <w:rPr>
          <w:sz w:val="20"/>
          <w:szCs w:val="20"/>
          <w:color w:val="auto"/>
        </w:rPr>
      </w:pPr>
    </w:p>
    <w:p>
      <w:pPr>
        <w:ind w:left="660" w:hanging="652"/>
        <w:spacing w:after="0" w:line="239" w:lineRule="auto"/>
        <w:tabs>
          <w:tab w:leader="none" w:pos="330"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value of the accelerated vesting of the PSU awards granted to our named executive officers, calculated by multiplying the fair market value of our common stock by the number of PSUs, the vesting of which accelerates in connection with the applicable triggering event. For a description of the accelerated vesting terms applicable to the PSUs, see “Compensation Discussion and Analysis-Equity Compensation-Accelerated Vesting of Performance Stock Units” above.</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For purposes of the “Termination without Cause or Resignation for Good Reason” column in the table above, we have reflected the value of the number of PSUs that vested with respect to 2025 performance, as determined by our Compensation Committee in February 2026, without proration. For purposes of the “Change in Control” column in the table above, we have assumed that a Qualifying Termination occurred concurrently with the change in control and the value included in the table above reflects the number of PSUs that vested with respect to 2025 performance, as determined by our Compensation Committee in February 2026, and the remaining unvested PSUs eligible to vest based on performance during later years under the terms of the PSUs at “target” levels.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required by Section 953(b) of the Dodd-Frank Act, and Item 402(u) of Regulation S-K, we are providing the following information regarding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relationship of the annual total compensation of our median compensated employee (“Median Compensated Employee”) to the annual total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Robert Antokol, our CEO. We consider the pay ratio specified below to be a reasonable estimate, calculated in a manner that is intended to be 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requirements of Item 402(u) of Regulation 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last completed fiscal year:</w:t>
      </w:r>
    </w:p>
    <w:p>
      <w:pPr>
        <w:spacing w:after="0" w:line="234" w:lineRule="exact"/>
        <w:rPr>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Median Compensated Employee, calculated in accordance with the requirements of Item 402(c)(2)(x) of Regulation S-K, was $90,563;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reported in the Summary Compensation Table included above, was $5,852,001.</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this information, for 2025, our CEO’s annual total compensation was approximately 65 times that of the median of the annual total compensation of all of our employees (other than the CEO). In identifying our Median Compensated Employee for our fiscal 2025 CEO pay ratio, we used “base salary” compensation, which was consistently applied to all of our employees included in the calculation. “Base salary” compensation consists of base salary as reported in our payroll data through December 31, 2025. “Base salary” compensation of our employees outside the U.S. were converted to U.S. dollars by taking the aggregate salary for a month in the local currency and converting that amount to U.S. dollars using the average exchange rate for such month for the applicable currency as published at https://x-rates.com and aggregating such converted amounts for all twelve months in fiscal 2025. In identifying our Median Compensated Employee, we annualized base salary for all full-time and part-time employees who did not work the full 2025 fiscal year. Base salary for temporary employees was not annualized.</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identify our Median Compensated Employee for fiscal 2025, we used our global employee population effective on December 31, 2025. As of this date, our employee population was approximately 3,300 employees. This total includes all full-time, part-time and temporary employees with no exclusions.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Table</w:t>
      </w: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for each of the fiscal years ended December 31, 2021, 2022, 2023, 2024 and 2025, and our financial performance for each such fiscal year:</w:t>
      </w: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14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142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3"/>
                <w:szCs w:val="13"/>
                <w:b w:val="1"/>
                <w:bCs w:val="1"/>
                <w:color w:val="auto"/>
                <w:w w:val="95"/>
              </w:rPr>
              <w:t>Average Summary</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Average Compensation</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Peer Group Total</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Net Income</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Adjusted EBITDA</w:t>
            </w: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20" w:type="dxa"/>
            <w:vAlign w:val="bottom"/>
            <w:gridSpan w:val="2"/>
          </w:tcPr>
          <w:p>
            <w:pPr>
              <w:jc w:val="center"/>
              <w:ind w:right="120"/>
              <w:spacing w:after="0" w:line="81" w:lineRule="exact"/>
              <w:rPr>
                <w:sz w:val="20"/>
                <w:szCs w:val="20"/>
                <w:color w:val="auto"/>
              </w:rPr>
            </w:pPr>
            <w:r>
              <w:rPr>
                <w:rFonts w:ascii="Times New Roman" w:cs="Times New Roman" w:eastAsia="Times New Roman" w:hAnsi="Times New Roman"/>
                <w:sz w:val="9"/>
                <w:szCs w:val="9"/>
                <w:b w:val="1"/>
                <w:bCs w:val="1"/>
                <w:color w:val="auto"/>
              </w:rPr>
              <w:t>Compensation Table</w:t>
            </w:r>
          </w:p>
        </w:tc>
        <w:tc>
          <w:tcPr>
            <w:tcW w:w="1380" w:type="dxa"/>
            <w:vAlign w:val="bottom"/>
            <w:gridSpan w:val="2"/>
            <w:vMerge w:val="continue"/>
          </w:tcPr>
          <w:p>
            <w:pPr>
              <w:spacing w:after="0"/>
              <w:rPr>
                <w:sz w:val="7"/>
                <w:szCs w:val="7"/>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Total Shareholder</w:t>
            </w:r>
          </w:p>
        </w:tc>
        <w:tc>
          <w:tcPr>
            <w:tcW w:w="130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tcPr>
          <w:p>
            <w:pPr>
              <w:jc w:val="right"/>
              <w:ind w:right="414"/>
              <w:spacing w:after="0" w:line="81" w:lineRule="exact"/>
              <w:rPr>
                <w:sz w:val="20"/>
                <w:szCs w:val="20"/>
                <w:color w:val="auto"/>
              </w:rPr>
            </w:pP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30"/>
        </w:trPr>
        <w:tc>
          <w:tcPr>
            <w:tcW w:w="8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380" w:type="dxa"/>
            <w:vAlign w:val="bottom"/>
            <w:gridSpan w:val="2"/>
          </w:tcPr>
          <w:p>
            <w:pPr>
              <w:jc w:val="center"/>
              <w:ind w:right="80"/>
              <w:spacing w:after="0" w:line="130" w:lineRule="exact"/>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140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3"/>
                <w:szCs w:val="13"/>
                <w:b w:val="1"/>
                <w:bCs w:val="1"/>
                <w:color w:val="auto"/>
              </w:rPr>
              <w:t>Actually Paid to PEO</w:t>
            </w:r>
          </w:p>
        </w:tc>
        <w:tc>
          <w:tcPr>
            <w:tcW w:w="1420" w:type="dxa"/>
            <w:vAlign w:val="bottom"/>
            <w:gridSpan w:val="2"/>
          </w:tcPr>
          <w:p>
            <w:pPr>
              <w:jc w:val="center"/>
              <w:ind w:right="120"/>
              <w:spacing w:after="0" w:line="130" w:lineRule="exact"/>
              <w:rPr>
                <w:sz w:val="20"/>
                <w:szCs w:val="20"/>
                <w:color w:val="auto"/>
              </w:rPr>
            </w:pPr>
            <w:r>
              <w:rPr>
                <w:rFonts w:ascii="Times New Roman" w:cs="Times New Roman" w:eastAsia="Times New Roman" w:hAnsi="Times New Roman"/>
                <w:sz w:val="13"/>
                <w:szCs w:val="13"/>
                <w:b w:val="1"/>
                <w:bCs w:val="1"/>
                <w:color w:val="auto"/>
                <w:w w:val="95"/>
              </w:rPr>
              <w:t>Total for Non-PEO</w:t>
            </w:r>
          </w:p>
        </w:tc>
        <w:tc>
          <w:tcPr>
            <w:tcW w:w="138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6"/>
              </w:rPr>
              <w:t>Actually Paid to Non-</w:t>
            </w:r>
          </w:p>
        </w:tc>
        <w:tc>
          <w:tcPr>
            <w:tcW w:w="1280" w:type="dxa"/>
            <w:vAlign w:val="bottom"/>
            <w:gridSpan w:val="2"/>
            <w:vMerge w:val="continue"/>
          </w:tcPr>
          <w:p>
            <w:pPr>
              <w:spacing w:after="0"/>
              <w:rPr>
                <w:sz w:val="11"/>
                <w:szCs w:val="11"/>
                <w:color w:val="auto"/>
              </w:rPr>
            </w:pPr>
          </w:p>
        </w:tc>
        <w:tc>
          <w:tcPr>
            <w:tcW w:w="1300" w:type="dxa"/>
            <w:vAlign w:val="bottom"/>
            <w:gridSpan w:val="2"/>
          </w:tcPr>
          <w:p>
            <w:pPr>
              <w:jc w:val="center"/>
              <w:ind w:right="60"/>
              <w:spacing w:after="0" w:line="130" w:lineRule="exact"/>
              <w:rPr>
                <w:sz w:val="20"/>
                <w:szCs w:val="20"/>
                <w:color w:val="auto"/>
              </w:rPr>
            </w:pPr>
            <w:r>
              <w:rPr>
                <w:rFonts w:ascii="Times New Roman" w:cs="Times New Roman" w:eastAsia="Times New Roman" w:hAnsi="Times New Roman"/>
                <w:sz w:val="13"/>
                <w:szCs w:val="13"/>
                <w:b w:val="1"/>
                <w:bCs w:val="1"/>
                <w:color w:val="auto"/>
                <w:w w:val="96"/>
              </w:rPr>
              <w:t>Shareholder Return</w:t>
            </w:r>
          </w:p>
        </w:tc>
        <w:tc>
          <w:tcPr>
            <w:tcW w:w="116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1060" w:type="dxa"/>
            <w:vAlign w:val="bottom"/>
          </w:tcPr>
          <w:p>
            <w:pPr>
              <w:jc w:val="right"/>
              <w:ind w:right="134"/>
              <w:spacing w:after="0" w:line="130"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81"/>
        </w:trPr>
        <w:tc>
          <w:tcPr>
            <w:tcW w:w="860" w:type="dxa"/>
            <w:vAlign w:val="bottom"/>
            <w:gridSpan w:val="2"/>
            <w:vMerge w:val="continue"/>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Total for PEO ($)</w:t>
            </w:r>
          </w:p>
        </w:tc>
        <w:tc>
          <w:tcPr>
            <w:tcW w:w="1300" w:type="dxa"/>
            <w:vAlign w:val="bottom"/>
          </w:tcPr>
          <w:p>
            <w:pPr>
              <w:ind w:left="540"/>
              <w:spacing w:after="0" w:line="181"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5"/>
                <w:szCs w:val="15"/>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NEOs ($)</w:t>
            </w:r>
          </w:p>
        </w:tc>
        <w:tc>
          <w:tcPr>
            <w:tcW w:w="138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3"/>
                <w:szCs w:val="13"/>
                <w:b w:val="1"/>
                <w:bCs w:val="1"/>
                <w:color w:val="auto"/>
                <w:w w:val="93"/>
              </w:rPr>
              <w:t>PEO NEOs ($)</w:t>
            </w:r>
            <w:r>
              <w:rPr>
                <w:rFonts w:ascii="Times New Roman" w:cs="Times New Roman" w:eastAsia="Times New Roman" w:hAnsi="Times New Roman"/>
                <w:sz w:val="16"/>
                <w:szCs w:val="16"/>
                <w:b w:val="1"/>
                <w:bCs w:val="1"/>
                <w:color w:val="auto"/>
                <w:w w:val="93"/>
                <w:vertAlign w:val="superscript"/>
              </w:rPr>
              <w:t>(1)</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Return ($)</w:t>
            </w:r>
          </w:p>
        </w:tc>
        <w:tc>
          <w:tcPr>
            <w:tcW w:w="1220" w:type="dxa"/>
            <w:vAlign w:val="bottom"/>
          </w:tcPr>
          <w:p>
            <w:pPr>
              <w:jc w:val="center"/>
              <w:spacing w:after="0" w:line="181" w:lineRule="exact"/>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(2)</w:t>
            </w: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96"/>
        </w:trPr>
        <w:tc>
          <w:tcPr>
            <w:tcW w:w="7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5,852,001</w:t>
            </w:r>
          </w:p>
        </w:tc>
        <w:tc>
          <w:tcPr>
            <w:tcW w:w="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(10,854,384)</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1,892,161</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(1,320,146)</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ind w:left="531"/>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753.2</w:t>
            </w:r>
          </w:p>
        </w:tc>
        <w:tc>
          <w:tcPr>
            <w:tcW w:w="0" w:type="dxa"/>
            <w:vAlign w:val="bottom"/>
          </w:tcPr>
          <w:p>
            <w:pPr>
              <w:spacing w:after="0"/>
              <w:rPr>
                <w:sz w:val="1"/>
                <w:szCs w:val="1"/>
                <w:color w:val="auto"/>
              </w:rPr>
            </w:pPr>
          </w:p>
        </w:tc>
      </w:tr>
      <w:tr>
        <w:trPr>
          <w:trHeight w:val="195"/>
        </w:trPr>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84,141,574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77,437,778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12,441,082</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11,221,805</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6"/>
                <w:szCs w:val="16"/>
                <w:color w:val="auto"/>
              </w:rPr>
            </w:pPr>
          </w:p>
        </w:tc>
        <w:tc>
          <w:tcPr>
            <w:tcW w:w="106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48,989,446</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49,062,102</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8,916,411</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8,938,988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rPr>
              <w:t>235.0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w:t>
            </w:r>
          </w:p>
        </w:tc>
        <w:tc>
          <w:tcPr>
            <w:tcW w:w="0" w:type="dxa"/>
            <w:vAlign w:val="bottom"/>
          </w:tcPr>
          <w:p>
            <w:pPr>
              <w:spacing w:after="0"/>
              <w:rPr>
                <w:sz w:val="1"/>
                <w:szCs w:val="1"/>
                <w:color w:val="auto"/>
              </w:rPr>
            </w:pPr>
          </w:p>
        </w:tc>
      </w:tr>
      <w:tr>
        <w:trPr>
          <w:trHeight w:val="195"/>
        </w:trPr>
        <w:tc>
          <w:tcPr>
            <w:tcW w:w="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57,264,194</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12,921,146</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13,435,858</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8,510,658</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06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805.1</w:t>
            </w: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63,123,469</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12,303,805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9,212,036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5,056,043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551"/>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848.7</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660" w:hanging="652"/>
        <w:spacing w:after="0" w:line="235" w:lineRule="auto"/>
        <w:tabs>
          <w:tab w:leader="none" w:pos="343"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represent compensation actually paid to our PEO and the average compensation actually paid to our remaining named executive officers for the relevant fiscal year, as determined under SEC rules (and described below), which includes the individuals indicated in the table below for each fiscal year:</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16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PEO</w:t>
            </w:r>
          </w:p>
        </w:tc>
        <w:tc>
          <w:tcPr>
            <w:tcW w:w="59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Non-PEO NEOs</w:t>
            </w:r>
          </w:p>
        </w:tc>
      </w:tr>
      <w:tr>
        <w:trPr>
          <w:trHeight w:val="219"/>
        </w:trPr>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2025</w:t>
            </w:r>
          </w:p>
        </w:tc>
        <w:tc>
          <w:tcPr>
            <w:tcW w:w="204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Robert Antokol</w:t>
            </w:r>
          </w:p>
        </w:tc>
        <w:tc>
          <w:tcPr>
            <w:tcW w:w="596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Craig Abrahams, Michael Cohen, Nir Korczak and Uri Rubin</w:t>
            </w:r>
          </w:p>
        </w:tc>
      </w:tr>
      <w:tr>
        <w:trPr>
          <w:trHeight w:val="213"/>
        </w:trPr>
        <w:tc>
          <w:tcPr>
            <w:tcW w:w="1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2024</w:t>
            </w:r>
          </w:p>
        </w:tc>
        <w:tc>
          <w:tcPr>
            <w:tcW w:w="2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Robert Antokol</w:t>
            </w:r>
          </w:p>
        </w:tc>
        <w:tc>
          <w:tcPr>
            <w:tcW w:w="59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Craig Abrahams, Michael Cohen, Nir Korczak and Ariel Sandler</w:t>
            </w:r>
          </w:p>
        </w:tc>
      </w:tr>
      <w:tr>
        <w:trPr>
          <w:trHeight w:val="219"/>
        </w:trPr>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2023</w:t>
            </w:r>
          </w:p>
        </w:tc>
        <w:tc>
          <w:tcPr>
            <w:tcW w:w="204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Robert Antokol</w:t>
            </w:r>
          </w:p>
        </w:tc>
        <w:tc>
          <w:tcPr>
            <w:tcW w:w="596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Craig Abrahams, Ofer Kinberg, Shlomi Aizenberg and Michael Cohen</w:t>
            </w:r>
          </w:p>
        </w:tc>
      </w:tr>
      <w:tr>
        <w:trPr>
          <w:trHeight w:val="213"/>
        </w:trPr>
        <w:tc>
          <w:tcPr>
            <w:tcW w:w="11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2022</w:t>
            </w:r>
          </w:p>
        </w:tc>
        <w:tc>
          <w:tcPr>
            <w:tcW w:w="20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Robert Antokol</w:t>
            </w:r>
          </w:p>
        </w:tc>
        <w:tc>
          <w:tcPr>
            <w:tcW w:w="59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Craig Abrahams, Ofer Kinberg, Shlomi Aizenberg and Michael Cohen</w:t>
            </w:r>
          </w:p>
        </w:tc>
      </w:tr>
      <w:tr>
        <w:trPr>
          <w:trHeight w:val="219"/>
        </w:trPr>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2021</w:t>
            </w:r>
          </w:p>
        </w:tc>
        <w:tc>
          <w:tcPr>
            <w:tcW w:w="204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Robert Antokol</w:t>
            </w:r>
          </w:p>
        </w:tc>
        <w:tc>
          <w:tcPr>
            <w:tcW w:w="5960" w:type="dxa"/>
            <w:vAlign w:val="bottom"/>
            <w:shd w:val="clear" w:color="auto" w:fill="CCEEFF"/>
          </w:tcPr>
          <w:p>
            <w:pPr>
              <w:jc w:val="center"/>
              <w:ind w:right="99"/>
              <w:spacing w:after="0"/>
              <w:rPr>
                <w:sz w:val="20"/>
                <w:szCs w:val="20"/>
                <w:color w:val="auto"/>
              </w:rPr>
            </w:pPr>
            <w:r>
              <w:rPr>
                <w:rFonts w:ascii="Times New Roman" w:cs="Times New Roman" w:eastAsia="Times New Roman" w:hAnsi="Times New Roman"/>
                <w:sz w:val="16"/>
                <w:szCs w:val="16"/>
                <w:color w:val="auto"/>
              </w:rPr>
              <w:t>Craig Abrahams, Ofer Kinberg, Shlomi Aizenberg and Michael Cohen</w:t>
            </w:r>
          </w:p>
        </w:tc>
      </w:tr>
    </w:tbl>
    <w:p>
      <w:pPr>
        <w:spacing w:after="0" w:line="306" w:lineRule="exact"/>
        <w:rPr>
          <w:sz w:val="20"/>
          <w:szCs w:val="20"/>
          <w:color w:val="auto"/>
        </w:rPr>
      </w:pPr>
    </w:p>
    <w:p>
      <w:pPr>
        <w:ind w:left="660" w:right="240"/>
        <w:spacing w:after="0" w:line="275" w:lineRule="auto"/>
        <w:rPr>
          <w:sz w:val="20"/>
          <w:szCs w:val="20"/>
          <w:color w:val="auto"/>
        </w:rPr>
      </w:pPr>
      <w:r>
        <w:rPr>
          <w:rFonts w:ascii="Times New Roman" w:cs="Times New Roman" w:eastAsia="Times New Roman" w:hAnsi="Times New Roman"/>
          <w:sz w:val="18"/>
          <w:szCs w:val="18"/>
          <w:color w:val="auto"/>
        </w:rPr>
        <w:t>Compensation actually paid to our named executive officers represents the “Total” compensation reported in the Summary Compensation Table for the applicable fiscal year, as adjusted as follows:</w:t>
      </w:r>
    </w:p>
    <w:tbl>
      <w:tblPr>
        <w:tblLayout w:type="fixed"/>
        <w:tblInd w:w="660" w:type="dxa"/>
        <w:tblCellMar>
          <w:top w:w="0" w:type="dxa"/>
          <w:left w:w="0" w:type="dxa"/>
          <w:bottom w:w="0" w:type="dxa"/>
          <w:right w:w="0" w:type="dxa"/>
        </w:tblCellMar>
      </w:tblPr>
      <w:tr>
        <w:trPr>
          <w:trHeight w:val="165"/>
        </w:trPr>
        <w:tc>
          <w:tcPr>
            <w:tcW w:w="6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Calculation for</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Calculation for PEO</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of</w:t>
            </w:r>
          </w:p>
        </w:tc>
        <w:tc>
          <w:tcPr>
            <w:tcW w:w="0" w:type="dxa"/>
            <w:vAlign w:val="bottom"/>
          </w:tcPr>
          <w:p>
            <w:pPr>
              <w:spacing w:after="0"/>
              <w:rPr>
                <w:sz w:val="1"/>
                <w:szCs w:val="1"/>
                <w:color w:val="auto"/>
              </w:rPr>
            </w:pPr>
          </w:p>
        </w:tc>
      </w:tr>
      <w:tr>
        <w:trPr>
          <w:trHeight w:val="212"/>
        </w:trPr>
        <w:tc>
          <w:tcPr>
            <w:tcW w:w="65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Non-PEO NEOs</w:t>
            </w:r>
          </w:p>
        </w:tc>
        <w:tc>
          <w:tcPr>
            <w:tcW w:w="0" w:type="dxa"/>
            <w:vAlign w:val="bottom"/>
          </w:tcPr>
          <w:p>
            <w:pPr>
              <w:spacing w:after="0"/>
              <w:rPr>
                <w:sz w:val="1"/>
                <w:szCs w:val="1"/>
                <w:color w:val="auto"/>
              </w:rPr>
            </w:pPr>
          </w:p>
        </w:tc>
      </w:tr>
      <w:tr>
        <w:trPr>
          <w:trHeight w:val="214"/>
        </w:trPr>
        <w:tc>
          <w:tcPr>
            <w:tcW w:w="6500" w:type="dxa"/>
            <w:vAlign w:val="bottom"/>
          </w:tcPr>
          <w:p>
            <w:pPr>
              <w:spacing w:after="0"/>
              <w:rPr>
                <w:sz w:val="18"/>
                <w:szCs w:val="18"/>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9"/>
        </w:trPr>
        <w:tc>
          <w:tcPr>
            <w:tcW w:w="65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Total</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5,852,001</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1,892,161</w:t>
            </w:r>
          </w:p>
        </w:tc>
        <w:tc>
          <w:tcPr>
            <w:tcW w:w="0" w:type="dxa"/>
            <w:vAlign w:val="bottom"/>
          </w:tcPr>
          <w:p>
            <w:pPr>
              <w:spacing w:after="0"/>
              <w:rPr>
                <w:sz w:val="1"/>
                <w:szCs w:val="1"/>
                <w:color w:val="auto"/>
              </w:rPr>
            </w:pPr>
          </w:p>
        </w:tc>
      </w:tr>
      <w:tr>
        <w:trPr>
          <w:trHeight w:val="162"/>
        </w:trPr>
        <w:tc>
          <w:tcPr>
            <w:tcW w:w="6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Less Stock and Option Award Values Reported in Summary Compensation Table for the</w:t>
            </w: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(213,990)</w:t>
            </w:r>
          </w:p>
        </w:tc>
        <w:tc>
          <w:tcPr>
            <w:tcW w:w="0" w:type="dxa"/>
            <w:vAlign w:val="bottom"/>
          </w:tcPr>
          <w:p>
            <w:pPr>
              <w:spacing w:after="0"/>
              <w:rPr>
                <w:sz w:val="1"/>
                <w:szCs w:val="1"/>
                <w:color w:val="auto"/>
              </w:rPr>
            </w:pPr>
          </w:p>
        </w:tc>
      </w:tr>
      <w:tr>
        <w:trPr>
          <w:trHeight w:val="213"/>
        </w:trPr>
        <w:tc>
          <w:tcPr>
            <w:tcW w:w="6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Applicable Fiscal Year</w:t>
            </w:r>
          </w:p>
        </w:tc>
        <w:tc>
          <w:tcPr>
            <w:tcW w:w="1680" w:type="dxa"/>
            <w:vAlign w:val="bottom"/>
            <w:gridSpan w:val="2"/>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Fair Value for Awards Granted in the Applicable Fiscal Year</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246,875</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Outstanding Unvested Awards from Prior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(13,999,147)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(2,472,823)</w:t>
            </w:r>
          </w:p>
        </w:tc>
        <w:tc>
          <w:tcPr>
            <w:tcW w:w="0" w:type="dxa"/>
            <w:vAlign w:val="bottom"/>
          </w:tcPr>
          <w:p>
            <w:pPr>
              <w:spacing w:after="0"/>
              <w:rPr>
                <w:sz w:val="1"/>
                <w:szCs w:val="1"/>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Awards from Prior Years that Vested in the Applicable Fiscal Year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(1,300,653)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(455,891)</w:t>
            </w:r>
          </w:p>
        </w:tc>
        <w:tc>
          <w:tcPr>
            <w:tcW w:w="0" w:type="dxa"/>
            <w:vAlign w:val="bottom"/>
          </w:tcPr>
          <w:p>
            <w:pPr>
              <w:spacing w:after="0"/>
              <w:rPr>
                <w:sz w:val="1"/>
                <w:szCs w:val="1"/>
                <w:color w:val="auto"/>
              </w:rPr>
            </w:pPr>
          </w:p>
        </w:tc>
      </w:tr>
      <w:tr>
        <w:trPr>
          <w:trHeight w:val="213"/>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Fair Value of Awards Forfeited during the Covered Year</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(1,406,585)</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(316,478)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Plus Fair Value of Incremental Dividends of Earnings paid on Stock Awards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6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(10,854,384)</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(1,320,146)</w:t>
            </w: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Fair value or change in fair value, as applicable, of equity awards in the “Compensation Actually Paid” columns was determined by reference to</w:t>
      </w:r>
    </w:p>
    <w:p>
      <w:pPr>
        <w:spacing w:after="0" w:line="27" w:lineRule="exact"/>
        <w:rPr>
          <w:sz w:val="20"/>
          <w:szCs w:val="20"/>
          <w:color w:val="auto"/>
        </w:rPr>
      </w:pPr>
    </w:p>
    <w:p>
      <w:pPr>
        <w:ind w:left="660" w:hanging="4"/>
        <w:spacing w:after="0" w:line="260" w:lineRule="auto"/>
        <w:tabs>
          <w:tab w:leader="none" w:pos="88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options, a Black-Scholes value as of the applicable year end or vesting dates, determined based on the same methodology as used to determine grant date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value but using the closing stock price on the applicable revaluation date as the current market price, an expected life set equal to the midpoint of the applicable revaluation date and the ten year contractual life of the option, volatility and risk free rates determined as of the revaluation date, and an expected dividend yield based on our dividend yield methodology used for valuing stock options generally; (ii) for 2022 PSUs and RSUs granted prior to 2024, a value as of the applicable year-end is determined based on the close price for our stock on the last business day of the calendar year; (iii) for 2024 Adjusted EBITDA PSUs, 2024 and 2025 Annual Revenue Growth Rate PSUs and RSUs granted in 2024 and 2025, a fair value as of December 31, 2024 using the value of its common stock on the date of grant, reduced by the present value of dividends expected to be paid on its shares of common stock prior to vesting, and a fair value as of December 31, 2025 based on the close price for our stock on the last business day 2025; and (iv) for 2024 TSR PSUs, a Monte Carlo value as of December 31, 2024 and 2025. For additional information about the assumptions used to value our stock and option awards, please see Note 14 of the Notes to Consolidated Financial Statements included in our Annual Report on Form 10-K for the year ended December 31, 2025, filed with the SEC on February 26, 2026, and our Annual Report on Form 10-K for prior years.</w:t>
      </w:r>
    </w:p>
    <w:p>
      <w:pPr>
        <w:spacing w:after="0" w:line="219" w:lineRule="exact"/>
        <w:rPr>
          <w:sz w:val="20"/>
          <w:szCs w:val="20"/>
          <w:color w:val="auto"/>
        </w:rPr>
      </w:pPr>
    </w:p>
    <w:p>
      <w:pPr>
        <w:ind w:left="660" w:hanging="652"/>
        <w:spacing w:after="0" w:line="235" w:lineRule="auto"/>
        <w:tabs>
          <w:tab w:leader="none" w:pos="388"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relevant fiscal year, represents the cumulative TSR (the “Peer Group TSR”) of the RDG Technology Composite Index (the “Peer Group”), which is the industry/line-of-business index included in the Stock Performance Graph contained in our Annual Report provided to stockholders for the year ended December 31, 2025.</w:t>
      </w:r>
    </w:p>
    <w:p>
      <w:pPr>
        <w:spacing w:after="0" w:line="213" w:lineRule="exact"/>
        <w:rPr>
          <w:rFonts w:ascii="Times New Roman" w:cs="Times New Roman" w:eastAsia="Times New Roman" w:hAnsi="Times New Roman"/>
          <w:sz w:val="23"/>
          <w:szCs w:val="23"/>
          <w:color w:val="auto"/>
          <w:vertAlign w:val="superscript"/>
        </w:rPr>
      </w:pPr>
    </w:p>
    <w:p>
      <w:pPr>
        <w:jc w:val="right"/>
        <w:ind w:left="660" w:hanging="652"/>
        <w:spacing w:after="0" w:line="221" w:lineRule="auto"/>
        <w:tabs>
          <w:tab w:leader="none" w:pos="376"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as used herein, is a non-GAAP financial measure which is defined and calculated in a manner consistent with the Company’s credit agreement. Based on the Company’s current credit agreements, Adjusted EBITDA is defined as net income before (1) interest expense, (2) interest income, (3) provision for income taxes, (4) depreciation and amortization expense, (5) stock-based compensation, (6) impairment charges,</w:t>
      </w:r>
    </w:p>
    <w:p>
      <w:pPr>
        <w:spacing w:after="0" w:line="2" w:lineRule="exact"/>
        <w:rPr>
          <w:rFonts w:ascii="Times New Roman" w:cs="Times New Roman" w:eastAsia="Times New Roman" w:hAnsi="Times New Roman"/>
          <w:sz w:val="23"/>
          <w:szCs w:val="23"/>
          <w:color w:val="auto"/>
          <w:vertAlign w:val="superscript"/>
        </w:rPr>
      </w:pPr>
    </w:p>
    <w:p>
      <w:pPr>
        <w:ind w:left="660" w:hanging="4"/>
        <w:spacing w:after="0" w:line="243" w:lineRule="auto"/>
        <w:tabs>
          <w:tab w:leader="none" w:pos="93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(8) acquisition and related expenses, and (9) certain other items. For a reconciliation of Adjusted EBITDA to net income, please see Appendix 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Financial Performance Measures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PEO and the average of the compensation actually paid to our remaining named executive officers, with (i) our cumulative TSR, (ii) our Peer Group TSR, (iii) our net income, and (iv) our Adjusted EBITDA, in each case, for the fiscal years ended December 31, 2021, 2022, 2023, 2024 and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TSR amounts reported in the graph assume an initial fixed investment of $100, and that all dividends, if any,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5083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5083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2614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Tabular List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the following performance measures represent the most important financial performance measures used by us to link compensation actually paid to our named executive officers for the fiscal year ended December 31, 2025:</w:t>
      </w:r>
    </w:p>
    <w:p>
      <w:pPr>
        <w:spacing w:after="0" w:line="18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details regarding our most important financial performance measures, see “Compensation Discussion and Analysis—Annual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Board of Directors of Playtika Holding Corp. (“Playtika”) has reviewed and discussed the Compensation Discussion and Analysis with management, and based on the review and discussions, the Compensation Committee recommended to the Board of Directors that the Compensation Discussion and Analysis be included in this Proxy Statement for the Annual Meeting and incorporated by reference in Playtika’s 2025 Annual Report on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on April 29, 2026, by the members of the Compensation Committee of Playtika’s Board of Directors.</w:t>
      </w:r>
    </w:p>
    <w:p>
      <w:pPr>
        <w:spacing w:after="0" w:line="2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Hong Du</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Bing Yuan</w:t>
      </w:r>
    </w:p>
    <w:p>
      <w:pPr>
        <w:spacing w:after="0" w:line="34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above report of the Compensation Committee will not be deemed to be incorporated by reference into any filing by the company under the Securities Act of 1933, as amended, or the Securities Exchange Act of 1934, as amended, except to the extent that the company specifically incorporates the same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5"/>
          <w:szCs w:val="25"/>
          <w:b w:val="1"/>
          <w:bCs w:val="1"/>
          <w:color w:val="auto"/>
        </w:rPr>
        <w:t>Related Party Transactions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equity and other compensation, termination, change in control and other arrangements discussed elsewhere in this proxy statement, the following is a description of each transaction since January 1, 2025, and each currently proposed transaction which:</w:t>
      </w:r>
    </w:p>
    <w:p>
      <w:pPr>
        <w:spacing w:after="0" w:line="18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to our knowledge, beneficial owners of more than 5% of our capital stock or any member of the immediate family of any of the foregoing persons had or will have a direct or indirect material interest.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 Stockholders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party to an equity plan stockholders agreement (the “Equity Plan Stockholders Agreement”) with our controlling stockholder Playtika Holding UK</w:t>
      </w:r>
    </w:p>
    <w:p>
      <w:pPr>
        <w:spacing w:after="0" w:line="27" w:lineRule="exact"/>
        <w:rPr>
          <w:sz w:val="20"/>
          <w:szCs w:val="20"/>
          <w:color w:val="auto"/>
        </w:rPr>
      </w:pPr>
    </w:p>
    <w:p>
      <w:pPr>
        <w:jc w:val="both"/>
        <w:ind w:firstLine="8"/>
        <w:spacing w:after="0" w:line="260" w:lineRule="auto"/>
        <w:tabs>
          <w:tab w:leader="none" w:pos="18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Alpha Frontier Limited, Giant Network Group Co., Ltd., Giant Investment Co., Ltd., Playtika Holding UK Limited, Shanghai Cibi, Hazlet Global Limited and Equal Sino Limited, as well as Mr. Antokol, Chief Executive Officer, President and Chairperson of the Board, Mr. Abrahams, our</w:t>
      </w:r>
    </w:p>
    <w:p>
      <w:pPr>
        <w:spacing w:after="0" w:line="5" w:lineRule="exact"/>
        <w:rPr>
          <w:rFonts w:ascii="Times New Roman" w:cs="Times New Roman" w:eastAsia="Times New Roman" w:hAnsi="Times New Roman"/>
          <w:sz w:val="18"/>
          <w:szCs w:val="18"/>
          <w:color w:val="auto"/>
        </w:rPr>
      </w:pPr>
    </w:p>
    <w:p>
      <w:pPr>
        <w:jc w:val="both"/>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President and Chief Financial Officer, Mr. Cohen, our Chief Legal Officer and Corporate Secretary, Mr. Korczak, our Chief Marketing Officer and certain other current and former members of management of the Company (such, individuals, the “Employee Stockholders”), 8th Wonder Corporation (“8th Wonder”) and Hotlink Investment Limited (“Hotlink”). Under the equity plan stockholders agreement, each Employee Stockholder granted an irrevocable proxy to Giant Network Group Co., Ltd. or its designee to vote all of such Employee Stockholders’ shares of our common stock at any meeting of the Company’s stockholders, which expires on the first date on which Giant Network Group Co., Ltd. and its affiliates collectively cease to beneficially own shares representing more than forty percent (40%) of the combined voting power of the issued and outstanding shares of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 with Related Person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Chief Executive Officer, President and Chairperson of the Board’s brother-in-law is employed under an employment agreement with our subsidiary, Playtika Ltd., dated October 17, 2013. Mr. Antokol’s brother-in-law earned total cash compensation of $355,023 in 2025. In addition, Mr. Antokol’s brother-in-law received two equity grants totaling $167,121 during 2025. The compensation of Mr. Antokol’s brother-in-law is consistent with that of other employees with equivalent qualifications and responsibilities and holding similar positions.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5"/>
          <w:szCs w:val="25"/>
          <w:b w:val="1"/>
          <w:bCs w:val="1"/>
          <w:color w:val="auto"/>
        </w:rPr>
        <w:t>Security Ownership of Certain Beneficial Owners and Management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April 16, 2026, by:</w:t>
      </w:r>
    </w:p>
    <w:p>
      <w:pPr>
        <w:spacing w:after="0" w:line="25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the terms of the equity plan stockholders agreement and any applicable community property laws.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Percentage ownership of our common stock is based on 380,379,545 shares of our common stock outstanding as of April 16, 2026.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April 16, 2026, are considered outstanding, although these shares are not considered outstanding for purposes of computing the percentage ownership of any other 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noted otherwise, the address of each beneficial owner is c/o Playtika Ltd. HaChoshlim St 8, Herzliya Pituach,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Shares Beneficially</w:t>
            </w:r>
          </w:p>
        </w:tc>
        <w:tc>
          <w:tcPr>
            <w:tcW w:w="23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c>
          <w:tcPr>
            <w:tcW w:w="0" w:type="dxa"/>
            <w:vAlign w:val="bottom"/>
          </w:tcPr>
          <w:p>
            <w:pPr>
              <w:spacing w:after="0"/>
              <w:rPr>
                <w:sz w:val="1"/>
                <w:szCs w:val="1"/>
                <w:color w:val="auto"/>
              </w:rPr>
            </w:pPr>
          </w:p>
        </w:tc>
      </w:tr>
      <w:tr>
        <w:trPr>
          <w:trHeight w:val="175"/>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3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Owned</w:t>
            </w: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60" w:type="dxa"/>
            <w:vAlign w:val="bottom"/>
            <w:gridSpan w:val="2"/>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23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60"/>
              <w:spacing w:after="0" w:line="230" w:lineRule="exact"/>
              <w:rPr>
                <w:sz w:val="20"/>
                <w:szCs w:val="20"/>
                <w:color w:val="auto"/>
              </w:rPr>
            </w:pPr>
            <w:r>
              <w:rPr>
                <w:rFonts w:ascii="Times New Roman" w:cs="Times New Roman" w:eastAsia="Times New Roman" w:hAnsi="Times New Roman"/>
                <w:sz w:val="18"/>
                <w:szCs w:val="18"/>
                <w:color w:val="auto"/>
              </w:rPr>
              <w:t>Playtika Holding UK II Limited</w:t>
            </w:r>
            <w:r>
              <w:rPr>
                <w:rFonts w:ascii="Times New Roman" w:cs="Times New Roman" w:eastAsia="Times New Roman" w:hAnsi="Times New Roman"/>
                <w:sz w:val="23"/>
                <w:szCs w:val="23"/>
                <w:color w:val="auto"/>
                <w:vertAlign w:val="superscript"/>
              </w:rPr>
              <w:t>(1)(2)</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199,359,642</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On Chau</w:t>
            </w:r>
            <w:r>
              <w:rPr>
                <w:rFonts w:ascii="Times New Roman" w:cs="Times New Roman" w:eastAsia="Times New Roman" w:hAnsi="Times New Roman"/>
                <w:sz w:val="23"/>
                <w:szCs w:val="23"/>
                <w:color w:val="auto"/>
                <w:vertAlign w:val="superscript"/>
              </w:rPr>
              <w:t>(3)</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79,910,506</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Robert Antokol</w:t>
            </w:r>
            <w:r>
              <w:rPr>
                <w:rFonts w:ascii="Times New Roman" w:cs="Times New Roman" w:eastAsia="Times New Roman" w:hAnsi="Times New Roman"/>
                <w:sz w:val="23"/>
                <w:szCs w:val="23"/>
                <w:color w:val="auto"/>
                <w:vertAlign w:val="superscript"/>
              </w:rPr>
              <w:t>(4)</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18,302,732</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 Beilinson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183,685</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Hong Du</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174,426</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Dana Gross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79,582</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Tian Lin</w:t>
            </w:r>
          </w:p>
        </w:tc>
        <w:tc>
          <w:tcPr>
            <w:tcW w:w="2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Bing Yuan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183,685</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Craig Abrahams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1,014,848</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Michael Cohen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647,788</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Nir Korczak</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671,315</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Uri Rubin</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319,192</w:t>
            </w:r>
          </w:p>
        </w:tc>
        <w:tc>
          <w:tcPr>
            <w:tcW w:w="10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(12 persons)</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21,556,448</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1.0%</w:t>
      </w:r>
    </w:p>
    <w:p>
      <w:pPr>
        <w:spacing w:after="0" w:line="239" w:lineRule="exact"/>
        <w:rPr>
          <w:sz w:val="20"/>
          <w:szCs w:val="20"/>
          <w:color w:val="auto"/>
        </w:rPr>
      </w:pPr>
    </w:p>
    <w:p>
      <w:pPr>
        <w:ind w:left="660" w:hanging="652"/>
        <w:spacing w:after="0" w:line="231" w:lineRule="auto"/>
        <w:tabs>
          <w:tab w:leader="none" w:pos="371"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information reported on the Schedule 13D filed with the SEC on April 6, 2021, and all amendments thereto filed with the SEC, as further supplemented by the Form 4s filed with the SEC, in each case, by Playtika Holding UK II Limited, a company incorporated in England and Wales (“PHUKII”), and the certain affiliated entities described below. Pursuant to the Form 4 filed by PHUKII and its affiliated entities with the SEC on May 29, 2025, such entities beneficially own a total of 199,359,642 shares. Pursuant to the Scheduled 13D/A filed by PHUKII and its affiliated entities with the SEC on November 27, 2024, (i) each of PHUKII, Alpha Frontier Limited, a Cayman Islands company (“Alpha”), Shanghai Cibi Business Information Consultancy Co., Ltd., a People’s Republic of China company (“Shanghai Cibi”), and Shanghai Jukun Network Technology Co., Ltd., a People’s Republic of China company (“Shanghai Jukun”) share voting power of 202,889,343 shares and share dispositive power of 202,889,343 shares, (ii) Giant Network Group Co., Ltd, a People’s Republic of China company (“Giant”), shares voting power of 93,189,674 shares and shares dispositive power of 73,789,054 shares, (iii) each of Giant Investment Co., Ltd., a People’s Republic of China company (“Giant Investment”), and Mr. Yuzhu Shi share voting power of 222,289,963 shares and share dispositive power of 202,889,343 shares, and (iv) Each of Hazlet Global Limited, a British Virgin Islands company (“Hazlet”), Equal Sino Limited, a British Virgin Islands company (“Equal Sino”), and Ms. Jing Shi, Mr. Shi’s daughter, share dispositive power of 48,769,736 shares. The address of the principal business office of each of PHUKII, Alpha, Shanghai Cibi, Shanghai Jukun, Giant, Giant Investment, Hazlet, Equal Sino, Mr. Shi and Ms. Shi is 988 Zhonkai road, Sonjiang District Shanghai, China 200160.</w:t>
      </w:r>
    </w:p>
    <w:p>
      <w:pPr>
        <w:spacing w:after="0" w:line="233"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457"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Each of Giant, Giant Investment and Mr. Shi also share voting power over additional shares held by certain current and former employees of the Company pursuant to the terms of the Equity Plan Stockholders Agreement, including 19,962,988 shares held by current executive officers of the Company as of April 16, 2026.</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333"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information reported on the Schedule 13D filed with the SEC on October 26, 2022, and all amendments thereto filed with the SEC up to July 26, 2023, as supplemented by the Form 4s filed with the SEC on July 28, 2023 and August 1, 2023, in each case, by On Chau and certain affiliated entities.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55" w:name="page56"/>
    <w:bookmarkEnd w:id="55"/>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Chau beneficially owns 79,910,506 shares of common stock of the Company, comprised of (i) 40,905,253 shares of common stock beneficially owned by 8th Wonder Corporation, a British Virgin Islands company (“8th Wonder”), and (ii) 39,005,253 shares of common stock beneficially owned by Hotlink Investment Limited, a British Virgin Islands company (“Hotlink”). 8th Wonder is 100% owned by Trustworthy Group Ltd., a British Virgin Islands company (“Trustworthy”). Ms. On Chau is the sole shareholder of Trustworthy, and she holds all voting and investment powers of 8th Wonder and its assets. Hotlink is 100% owned by Infinite Bandwidth Limited, a British Virgin Islands company (“Infinite Bandwidth”). Ms. On Chau is the sole shareholder of Infinite Bandwidth, and she holds all voting and investment powers of Hotlink and its assets. The address for On Chau is Rm 2506, Pacific Place Apartments, Pacific Place, 88 Queensway, Central, Hong Kong. The address of each of 8th Wonder and Hotlink is Suites 1901-2&amp;14, 19th Floor, Tower 6, The Gateway, Harbour City, Kowloon, Hong Kong. The address for each of Trustworthy and Infinite Bandwidth is Sea Meadow House, P.O. Box 116, Road Town, Tortola, British Virgin Islands.</w:t>
      </w:r>
    </w:p>
    <w:p>
      <w:pPr>
        <w:spacing w:after="0" w:line="215" w:lineRule="exact"/>
        <w:rPr>
          <w:sz w:val="20"/>
          <w:szCs w:val="20"/>
          <w:color w:val="auto"/>
        </w:rPr>
      </w:pPr>
    </w:p>
    <w:p>
      <w:pPr>
        <w:ind w:left="660" w:hanging="652"/>
        <w:spacing w:after="0" w:line="229" w:lineRule="auto"/>
        <w:tabs>
          <w:tab w:leader="none" w:pos="341"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8,054,100 shares that were transferred to Mr. Antokol’s ex-spouse pursuant to a foreign domestic relations order, but over which Mr. Antokol maintains sole voting power for so long as he remains an officer of the Company or any of its affiliates or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5"/>
          <w:szCs w:val="25"/>
          <w:b w:val="1"/>
          <w:bCs w:val="1"/>
          <w:color w:val="auto"/>
        </w:rPr>
        <w:t>Equity Compensation Plan Information as of December 31, 2025</w:t>
      </w:r>
    </w:p>
    <w:p>
      <w:pPr>
        <w:spacing w:after="0" w:line="2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our common stock that may be issued upon the exercise of options, warrants and rights under all of our equity compensation plans, as of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 Equity</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Weighted-Average Exercise</w:t>
            </w:r>
          </w:p>
        </w:tc>
        <w:tc>
          <w:tcPr>
            <w:tcW w:w="24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1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24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480" w:type="dxa"/>
            <w:vAlign w:val="bottom"/>
            <w:gridSpan w:val="3"/>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4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Reflected in</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20" w:type="dxa"/>
            <w:vAlign w:val="bottom"/>
          </w:tcPr>
          <w:p>
            <w:pPr>
              <w:spacing w:after="0"/>
              <w:rPr>
                <w:sz w:val="18"/>
                <w:szCs w:val="18"/>
                <w:color w:val="auto"/>
              </w:rPr>
            </w:pPr>
          </w:p>
        </w:tc>
        <w:tc>
          <w:tcPr>
            <w:tcW w:w="236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21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8"/>
                <w:szCs w:val="18"/>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(b)</w:t>
            </w:r>
          </w:p>
        </w:tc>
        <w:tc>
          <w:tcPr>
            <w:tcW w:w="24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77"/>
        </w:trPr>
        <w:tc>
          <w:tcPr>
            <w:tcW w:w="378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2"/>
            <w:shd w:val="clear" w:color="auto" w:fill="CCEEFF"/>
          </w:tcPr>
          <w:p>
            <w:pPr>
              <w:ind w:left="260"/>
              <w:spacing w:after="0" w:line="237" w:lineRule="exact"/>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3"/>
                <w:szCs w:val="23"/>
                <w:color w:val="auto"/>
                <w:vertAlign w:val="superscript"/>
              </w:rPr>
              <w:t>(1)</w:t>
            </w:r>
          </w:p>
        </w:tc>
        <w:tc>
          <w:tcPr>
            <w:tcW w:w="2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30,247,306 </w:t>
            </w:r>
            <w:r>
              <w:rPr>
                <w:rFonts w:ascii="Times New Roman" w:cs="Times New Roman" w:eastAsia="Times New Roman" w:hAnsi="Times New Roman"/>
                <w:sz w:val="9"/>
                <w:szCs w:val="9"/>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17.16 </w:t>
            </w:r>
            <w:r>
              <w:rPr>
                <w:rFonts w:ascii="Times New Roman" w:cs="Times New Roman" w:eastAsia="Times New Roman" w:hAnsi="Times New Roman"/>
                <w:sz w:val="9"/>
                <w:szCs w:val="9"/>
                <w:color w:val="auto"/>
              </w:rPr>
              <w:t>(3)</w:t>
            </w:r>
          </w:p>
        </w:tc>
        <w:tc>
          <w:tcPr>
            <w:tcW w:w="2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8,439,172 </w:t>
            </w:r>
            <w:r>
              <w:rPr>
                <w:rFonts w:ascii="Times New Roman" w:cs="Times New Roman" w:eastAsia="Times New Roman" w:hAnsi="Times New Roman"/>
                <w:sz w:val="9"/>
                <w:szCs w:val="9"/>
                <w:color w:val="auto"/>
              </w:rPr>
              <w:t>(4)</w:t>
            </w:r>
          </w:p>
        </w:tc>
        <w:tc>
          <w:tcPr>
            <w:tcW w:w="0" w:type="dxa"/>
            <w:vAlign w:val="bottom"/>
          </w:tcPr>
          <w:p>
            <w:pPr>
              <w:spacing w:after="0"/>
              <w:rPr>
                <w:sz w:val="1"/>
                <w:szCs w:val="1"/>
                <w:color w:val="auto"/>
              </w:rPr>
            </w:pPr>
          </w:p>
        </w:tc>
      </w:tr>
      <w:tr>
        <w:trPr>
          <w:trHeight w:val="184"/>
        </w:trPr>
        <w:tc>
          <w:tcPr>
            <w:tcW w:w="38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security holders</w:t>
            </w:r>
          </w:p>
        </w:tc>
        <w:tc>
          <w:tcPr>
            <w:tcW w:w="2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30,247,306</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8,439,172</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22"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of the 2020 Plan and the Employee Stock Purchase Plan (“ESPP”).</w:t>
      </w:r>
    </w:p>
    <w:p>
      <w:pPr>
        <w:spacing w:after="0" w:line="224"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354"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 1,073,549 shares of common stock that were subject to awards of options, (ii) 18,382,539 shares of common stock that were subject to awards of unvested RSUs, and (iii) 10,791,218 shares of common stock that were subject to awards of unvested PSUs (at “target” levels), in each case, granted under our 2020 Plan.</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35" w:lineRule="auto"/>
        <w:tabs>
          <w:tab w:leader="none" w:pos="38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number reflects the weighted-average exercise price of stock options outstanding under our 2020 Plan. Outstanding RSUs and PSUs vest and convert to shares of common stock without the payment of consideration. Therefore, the weighted-average exercise price excludes RSUs and PSUs issued under the 2020 Plan.</w:t>
      </w:r>
    </w:p>
    <w:p>
      <w:pPr>
        <w:spacing w:after="0" w:line="226" w:lineRule="exact"/>
        <w:rPr>
          <w:rFonts w:ascii="Times New Roman" w:cs="Times New Roman" w:eastAsia="Times New Roman" w:hAnsi="Times New Roman"/>
          <w:sz w:val="23"/>
          <w:szCs w:val="23"/>
          <w:color w:val="auto"/>
          <w:vertAlign w:val="superscript"/>
        </w:rPr>
      </w:pPr>
    </w:p>
    <w:p>
      <w:pPr>
        <w:ind w:left="660" w:hanging="652"/>
        <w:spacing w:after="0" w:line="243" w:lineRule="auto"/>
        <w:tabs>
          <w:tab w:leader="none" w:pos="372"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2025, 8,439,172 shares of common stock remained available for issuance under our 2020 Plan. If, on January 1st of each year through January 2030, the number of shares available for grant under the 2020 Plan is less than 3.5% of the total shares of the Company’s outstanding common stock, then the number of shares available for grant will increase to an amount equal to the lesser of (i) 3.5% of the total shares of the Company’s outstanding common stock or (ii) such number of shares determined by the Board of Directors. Our ESPP became effective in January 2021 in connection with our initial public offering and is not included in the table above because no shares of our common stock were reserved for issuance under the ESPP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7" w:name="page58"/>
    <w:bookmarkEnd w:id="57"/>
    <w:p>
      <w:pPr>
        <w:ind w:left="4420"/>
        <w:spacing w:after="0"/>
        <w:rPr>
          <w:sz w:val="20"/>
          <w:szCs w:val="20"/>
          <w:color w:val="auto"/>
        </w:rPr>
      </w:pPr>
      <w:r>
        <w:rPr>
          <w:rFonts w:ascii="Times New Roman" w:cs="Times New Roman" w:eastAsia="Times New Roman" w:hAnsi="Times New Roman"/>
          <w:sz w:val="25"/>
          <w:szCs w:val="25"/>
          <w:b w:val="1"/>
          <w:bCs w:val="1"/>
          <w:color w:val="auto"/>
        </w:rPr>
        <w:t>Audit Related Matters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Review of Independent Registered Public Accounting Firm</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its oversight responsibilities, the Audit Committee assesses the performance of our independent registered public accounting firm on an annual basis. In conducting its assessment, the Audit Committee considers various audit quality indicators including firm reputation, support, competency and service by the engagement team, including industry expertise, management’s input as to the firm’s technical expertise and knowledge; and quality and breadth of services provided relative to the cost of those services.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results of this assessment were taken into consideration when determining whether to reappoint Kost Forer Gabbay &amp; Kasierer, a member of Ernst &amp; Young Global, for the year ending December 31, 2026. Based on its evaluation, the Audit Committee believes that the continued retention of Kost Forer Gabbay &amp; Kasierer, a member of Ernst &amp; Young Global, to serve as our independent registered public accounting firm is in the best interests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Paid to Independent Registered Public Accounting Firm</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fees billed to us for the years ended December 31, 2025 and 2024 by Kost Forer Gabbay &amp; Kasierer, a member of Ernst &amp; Young Global, our independent registered public accounting firm,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2,906,378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3,650,057</w:t>
            </w:r>
          </w:p>
        </w:tc>
      </w:tr>
      <w:tr>
        <w:trPr>
          <w:trHeight w:val="230"/>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4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303,320</w:t>
            </w:r>
          </w:p>
        </w:tc>
      </w:tr>
      <w:tr>
        <w:trPr>
          <w:trHeight w:val="229"/>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415,795</w:t>
            </w:r>
          </w:p>
        </w:tc>
      </w:tr>
      <w:tr>
        <w:trPr>
          <w:trHeight w:val="230"/>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3,998,237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4,369,172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52" w:lineRule="exact"/>
        <w:rPr>
          <w:sz w:val="20"/>
          <w:szCs w:val="20"/>
          <w:color w:val="auto"/>
        </w:rPr>
      </w:pPr>
    </w:p>
    <w:p>
      <w:pPr>
        <w:ind w:left="660" w:hanging="652"/>
        <w:spacing w:after="0" w:line="235" w:lineRule="auto"/>
        <w:tabs>
          <w:tab w:leader="none" w:pos="42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 fees represent the aggregate fees billed to us by EY, for professional services rendered for the audit of our annual consolidated financial statements, the audit of the effectiveness of our internal controls over financial reporting, for the reviews of our consolidated financial statements for each applicable fiscal quarter, and for statutory audits.</w:t>
      </w:r>
    </w:p>
    <w:p>
      <w:pPr>
        <w:spacing w:after="0" w:line="19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Audit-related fees represent aggregate fees bill to us by EY for professional services rendered for due diligence related to acquisitions.</w:t>
      </w:r>
    </w:p>
    <w:p>
      <w:pPr>
        <w:spacing w:after="0" w:line="224" w:lineRule="exact"/>
        <w:rPr>
          <w:rFonts w:ascii="Times New Roman" w:cs="Times New Roman" w:eastAsia="Times New Roman" w:hAnsi="Times New Roman"/>
          <w:sz w:val="23"/>
          <w:szCs w:val="23"/>
          <w:color w:val="auto"/>
          <w:vertAlign w:val="superscript"/>
        </w:rPr>
      </w:pPr>
    </w:p>
    <w:p>
      <w:pPr>
        <w:ind w:left="660" w:hanging="652"/>
        <w:spacing w:after="0" w:line="229" w:lineRule="auto"/>
        <w:tabs>
          <w:tab w:leader="none" w:pos="349"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Tax fees represent the aggregate fees billed to us by EY for professional services rendered for on-call tax services and additional various tax services, such as transfer pricing, indirect tax, Israeli tax matters and related fillings to the Israeli authorities and US tax and tax structuring.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Committee’s charter provides that the Audit Committee has the sole authority and responsibility to pre-approve all audit and permitted non-audit services to be provided to the company. Pursuant to its charter, the Audit Committee has established pre-approval policies and procedures for permitted non-audit services. The Audit Committee considers each engagement on a case-by-case basis according to certain required criteria, including the skill set necessary for the engagement and ensuring the engagement should not involve work that would result in our registered public accounting firm eventually auditing its own work. The Audit Committee is regularly updated on the status of all outstanding engagements. If we anticipate that the fees for specific engagements may exceed the amount initially approved by the Audit Committee, the Audit Committee will consider proposals to increase the fees for such engagements on a case-by-case basis. All of the services performed by Kost Forer Gabbay &amp; Kasierer,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member of Ernst &amp; Young Global, in 2025 were approved in advance by the Audit Committee pursuant to the foregoing pre-approval policy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Report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primary role of the Audit Committee is to appoint, retain, and oversee our independent registered public accounting firm, which is currently Kost Forer Gabbay &amp; Kasierer, a member of Ernst &amp; Young Global, and to oversee the Company’s financial reporting process on behalf of the Board. The Audit Committee’s roles and responsibilities are more fully described in its charter, which is available in the investors section of our corporate website at www.playtika.com. Management has the primary responsibility for our financial statements and reporting processes, including our systems of internal controls.</w:t>
      </w:r>
    </w:p>
    <w:p>
      <w:pPr>
        <w:spacing w:after="0" w:line="210" w:lineRule="exact"/>
        <w:rPr>
          <w:sz w:val="20"/>
          <w:szCs w:val="20"/>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reviewed and discussed the audited consolidated financial statements as of and for the fiscal year ended December 31, 2025, with management of Playtika and Kost Forer Gabbay &amp; Kasierer, a member of Ernst &amp; Young Global.</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discussed with Kost Forer Gabbay &amp; Kasierer, a member of Ernst &amp; Young Global, those matters required to be discussed by the applicable requirements of the Public Company Accounting Oversight Board.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has received and reviewed the written disclosures and the letter from Kost Forer Gabbay &amp; Kasierer, a member of Ernst &amp; Young Global, required by the Public Company Accounting Oversight Board regarding its communications with the Audit Committee concerning the accountant’s independence, and has discussed with Kost Forer Gabbay &amp; Kasierer, a member of Ernst &amp; Young Global, its independence from Playtika and its management. The Audit Committee has also considered whether Kost Forer Gabbay &amp; Kasierer’s preparation of tax returns, tax consulting services, and other non-audit services to Playtika is compatible with maintaining its independence.</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review of the Audit Committee and discussions described above, the Audit Committee recommended to the Board that the audited consolidated financial statements be included in Playtika’s Annual Report on Form 10-K for the year ended December 31, 2025, for filing with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on April 29, 2026, by the members of the Audit Committee of Playtika’s Board of Directors.</w:t>
      </w:r>
    </w:p>
    <w:p>
      <w:pPr>
        <w:spacing w:after="0" w:line="29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Marc Beilinson, Chair</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Dana Gross</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Bing Yuan</w:t>
      </w:r>
    </w:p>
    <w:p>
      <w:pPr>
        <w:spacing w:after="0" w:line="3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above report of the Audit Committee will not be deemed to be incorporated by reference into any filing by the company under the Securities Act of 1933, as amended, or the Securities Exchange Act of 1934, as amended, except to the extent that Playtika specifically incorporates the same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5"/>
          <w:szCs w:val="25"/>
          <w:b w:val="1"/>
          <w:bCs w:val="1"/>
          <w:color w:val="auto"/>
        </w:rPr>
        <w:t>Frequently Asked Questions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When is the Annual Meeting?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Thursday, June 11, 2026 at 9:00 a.m. Pacific Time. This year’s Annual Meeting will be held as a virtual meeting of stockholders, conducted via live audio webcast at www.proxydocs.com/PLTK.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Annual Meeting?</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attend the virtual Annual Meeting, log in at www.proxydocs.com/PLTK and register in advance. Following registration, you will receive instructions regarding virtual attendance at the Annual Meeting and how to vote your shares at the Annual Meeting, along with your unique link to attend the Annual Meeting, via email. Stockholders will need their unique control number which appears on the Notice (printed in the shaded box) and the instructions that accompanied the Proxy Materials. If your shares of common stock are held by a bank, broker or other holder of record, and you do not have a control number, please contact your broker, bank, or other holder of record as soon as possible, so that you can be provided with a control number and register to gain access to the Annual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stockholders as of the close of business on the record date, April 16, 2026, will consider and vote upon:</w:t>
      </w:r>
    </w:p>
    <w:p>
      <w:pPr>
        <w:spacing w:after="0" w:line="252" w:lineRule="exact"/>
        <w:rPr>
          <w:sz w:val="20"/>
          <w:szCs w:val="20"/>
          <w:color w:val="auto"/>
        </w:rPr>
      </w:pPr>
    </w:p>
    <w:p>
      <w:pPr>
        <w:ind w:left="660" w:right="20" w:hanging="328"/>
        <w:spacing w:after="0" w:line="261"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six director nominees named in this Proxy Statement to serve until the 2027 annual meeting of stockholders and until their respective successors are duly elected and qualify;</w:t>
      </w:r>
    </w:p>
    <w:p>
      <w:pPr>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Kost Forer Gabbay &amp; Kasierer, a member of Ernst &amp; Young Global, as our independent registered public accounting firm for the fiscal year ending December 31, 2026;</w:t>
      </w:r>
    </w:p>
    <w:p>
      <w:pPr>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proposal to approve the compensation of our named executive officers as described in this Proxy Statement (also known as the “say-on-pay” vote); and</w:t>
      </w:r>
    </w:p>
    <w:p>
      <w:pPr>
        <w:ind w:left="660" w:right="20" w:hanging="328"/>
        <w:spacing w:after="0" w:line="26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such other business as may properly come before the Annual Meeting or any postponement or adjournment of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Annual Meeting?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at the close of business on April 16, 2026, are entitled to receive notice of and to vote their shares at the Annual Meeting. As of that date, there were 380,379,545 shares of common stock outstanding and entitled to vote. Each outstanding share of our common stock is entitled to one vote on each matter properly brought before the Annual Meeting or any postponement or adjournment thereof.</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my Proxy Materials for the Annual Meeting?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on or about April 29, 2026, Proxy Materials (including the Proxy Statement, proxy card, and Annual Report) for the Annual Meeting will be sent via e-mail or mail to our stockholders of record in accordance with their preference if indicated previously. If a preference has not been specified, we will either mail to those stockholders our Proxy Materials or a Notice of Availability of Proxy Materials (the “Notice”) which contains instructions on how to access our materials by mail, e-mail, or on the Internet.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SEC notice and access rule, the Notice allows us to provide our stockholders with the information they need to vote through various means, while lowering the costs of print and delivery and reducing the environmental impact of the Annual Meeting. The Notice is not a proxy and may not be used to authorize a proxy to vote your shares. If you receive a Notice this year, you will not receive paper copies of the Proxy Materials unless you request the materials by following the instructions on the Notice or by accessing the website identified on the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stockholder of record or as a beneficial owner?</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American Stock &amp; Transfer Company, LLC, you are considered a “stockholder of record.” This year we have engaged the services of Mediant Communications Inc. to mail our Proxy Materials or Notice to our registered 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by a bank, in a brokerage account, or other holder of record, you are considered a “beneficial owner” of shares held in street name. The Proxy Materials or Notice may be forwarded to you by your bank, broker, or other holder of record. As the beneficial owner, you have the right to direct your bank, broker, or other holder of record on how to vote your shares by following their instructions for authorizing your proxy.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 it necessary to vote if my shares are held in my brokerage account?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vote your shares even if your shares are held in a brokerage account. Otherwise, your shares may not be voted on certain matters unless you provide voting instructions to your bank, broker or other holder of record. If you are unsure, please vote your shares using the voting information provided.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or authorize a proxy to vote using any of the following methods: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Internet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Authorize a proxy to vote your shares via the website www.proxypush.com/PLTK, which is available 24 hours per day until the start of the Annual Meeting. In order to authorize your proxy, you will need to have available the control number that appears on the voting instructions included in the Proxy Materials that you received. If you authorize your proxy via the Internet, you do not need to return your proxy or voting instruction card.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Telephone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Authorize a proxy to vote your shares by calling toll-free at 844-311-3915, 24 hours per day until the start of the Annual Meeting. When you call, please have the voting instructions in hand that accompanied the Proxy Materials you received, along with the control number that appears therein. Follow the series of prompts to instruct your proxy how to vote your shares. If you authorize your proxy by telephone, you do not need to return your proxy or voting instruction card.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received and/or requested via the Notice a printed set of the Proxy Materials (including the Proxy Statement, proxy card, and Annual Report), authorize a proxy to vote your shares by completing, signing, and returning the proxy in the prepaid envelope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 Access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Vote your shares by logging onto and voting at the virtual Annual Meeting at www.proxydocs.com/PLTK by following the instructions provided to you via email after completing the registration procedures described on the website. Please note that you must register on the website in advance of the Annual Meeting to be able to attend and vote your shares. You may also be represented by another person at the Annual Meeting by executing a proper proxy designating that person as your representative. If you are a beneficial owner of shares, you will need your unique control number, which appears on the instructions that accompanied the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I vote on the proposals?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that you vote your shares as follows:</w:t>
      </w:r>
    </w:p>
    <w:p>
      <w:pPr>
        <w:spacing w:after="0" w:line="248"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the election to the Board of the six nominees listed in this Proxy Statement;</w:t>
      </w:r>
    </w:p>
    <w:p>
      <w:pPr>
        <w:spacing w:after="0" w:line="3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the ratification of the appointment of Kost Forer Gabbay &amp; Kasierer, a member of Ernst &amp; Young Global, as our independent registered public accounting firm for the fiscal year ending December 31, 2026; and</w:t>
      </w:r>
    </w:p>
    <w:p>
      <w:pPr>
        <w:ind w:left="1300" w:hanging="644"/>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3: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the say-on-pay vote.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I do not indicate my voting preferences?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you sign and submit your proxy card or authorize your proxy by telephone or Internet, but do not indicate your voting preferences, the persons named in the proxy will vote the shares represented by that proxy consistent with the recommendations of the Board, which are as follows:</w:t>
      </w:r>
    </w:p>
    <w:p>
      <w:pPr>
        <w:spacing w:after="0" w:line="199"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the election to the Board of the six nominees listed in this Proxy Statement;</w:t>
      </w:r>
    </w:p>
    <w:p>
      <w:pPr>
        <w:spacing w:after="0" w:line="3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the ratification of the appointment of Kost Forer Gabbay &amp; Kasierer, a member of Ernst &amp; Young Global, as our independent registered public accounting firm for the fiscal year ending December 31, 2026; and</w:t>
      </w: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3: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the say-on-pay vote.</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any other matters that may properly come before the Annual Meeting, the persons named in the proxy will vote the shares represented by that proxy in their discretion.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 broker and do not instruct your broker on how to vote your shares, your broker is not permitted to vote your shares on “non-routine” matters, including the election of directors and the say-on-pay vote, but is permitted to vote your shares on “routine” matters, including the proposal regarding ratification of the appointment of our auditor.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change my vote after I submit my proxy?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at any time before it is exercised at the Annual Meeting by doing one of the following:</w:t>
      </w:r>
    </w:p>
    <w:p>
      <w:pPr>
        <w:spacing w:after="0" w:line="252" w:lineRule="exact"/>
        <w:rPr>
          <w:sz w:val="20"/>
          <w:szCs w:val="20"/>
          <w:color w:val="auto"/>
        </w:rPr>
      </w:pPr>
    </w:p>
    <w:p>
      <w:pPr>
        <w:ind w:left="1300" w:hanging="644"/>
        <w:spacing w:after="0" w:line="261" w:lineRule="auto"/>
        <w:tabs>
          <w:tab w:leader="none" w:pos="12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a written notice of revocation (the contact information for our Corporate Secretary is provided below);</w:t>
      </w: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returning to our Corporate Secretary a proxy bearing a later date;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another proxy by telephone or on the Internet (your most recent telephone or Internet authorization will be used); or</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onto and voting at the virtual Annual Meeting.</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your shares are held in the name of a broker, bank, or other holder of record, you may change your voting instructions by following the instructions provided by your broker, bank, or other holder of record.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attendance at the virtual Annual Meeting will not by itself be sufficient to revoke a proxy unless you log onto and vote at the virtual Annual Meeting or give written notice of revocation to our Corporate Secretary before the polls are closed. Any written notice revoking a proxy should be sent to Michael Cohen, our Corporate Secretary, at our corporate offices at c/o Playtika Ltd., HaChoshlim St 8, Herzliya Pituach, Israel, Attn: Corporate Secretary.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the quorum and voting requirements on the three proposals mentioned in this Proxy Statement?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presence in person or by proxy of the number of shares of our common stock representing a majority in voting power of the stock issued and outstanding and entitled to vote at the Annual Meeting on any matter will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quorum. Shares are considered “in person” if voted by the holder of those shares during the virtual Annual Meeting. Abstentions and “broker non-votes” are counted as present for purposes of determining a quorum. A “broker non-vote” occurs when there are both routine and non-routine matters on the proxy card, and the broker marks a vote on the routine matter (either as instructed by the client or, if not instructed, in the broker’s discretion) and crosses out those non-routine matters on which it has no voting authority without the client’s instruction.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outlines the vote required and the effect of abstentions and broker non-votes for each proposal at the Annual Meeting:</w:t>
      </w:r>
    </w:p>
    <w:p>
      <w:pPr>
        <w:spacing w:after="0" w:line="252" w:lineRule="exact"/>
        <w:rPr>
          <w:sz w:val="20"/>
          <w:szCs w:val="20"/>
          <w:color w:val="auto"/>
        </w:rPr>
      </w:pPr>
    </w:p>
    <w:p>
      <w:pPr>
        <w:jc w:val="both"/>
        <w:ind w:left="1300" w:hanging="644"/>
        <w:spacing w:after="0" w:line="256"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relates to the election of the director nominees. Directors are elected by a plurality of the votes cast at the Annual Meeting. This means that, since stockholders will be electing six directors, the six director nominees receiving the highest number of votes “FOR” will be elected. You may either vote “FOR,” or to “WITHHOLD” a vote from, each nominee for the Board. Brokers do not have discretionary authority to vote your shares for director nominees. An abstention or a broker non-vote will not count as a vote cast “FOR” or to “WITHHOLD” a vote from, a nominee’s election and thus will have no effect in determining whether a director nominee has received a plurality of the votes cast.</w:t>
      </w:r>
    </w:p>
    <w:p>
      <w:pPr>
        <w:spacing w:after="0" w:line="214"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the majority of the shares present and entitled to vote is required for approval of Proposal 2 (Ratification of Appointment of Independent Auditors). You may vote “FOR,” “AGAINST” or “ABSTAIN” on Proposal 2. An abstention will have no effect on the outcome of the vote. Broker non-votes are not expected to result from this proposal since as a beneficial owner, your bank, broker, or other holder of record is permitted to vote your shares even if the broker does not receive voting instructions from you.</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2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the holders of the majority of the shares present and entitled to vote is required for approval of Proposal 3 (Say-On-Pay Vote). You may vote “FOR,” “AGAINST” or “ABSTAIN” on Proposal 3. An abstention or a broker non-vote will not count as a vote cast and thus will have no effect on the outcome of the vote. Brokers do not have discretionary authority to vote your shares for the say-on-pay vote.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any other business be conducted during the Annual Meeting?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does not know of any matters to be presented during the meeting other than those mentioned in this Proxy Statement. If any other matters are properly brought before the meeting, it is intended that the proxies will be voted in accordance with the discretion of the person or persons voting the proxies. If you are a beneficial owner, your bank, broker, or other holder of record may not vote your shares on any contested stockholder proposal without instructions from you.</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Annual Meeting is postponed or adjourned for any reason, at any subsequent convening or resumption of the Annual Meeting, all proxies will be voted in the same manner as such proxies would have been voted at the Annual Meeting as originally convened (except for any proxies that have effectively been revoked or withdrawn).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of Mediant Communications Inc. will tabulate the votes and act as inspector of election.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access the Notice of Annual Meeting, Proxy Statement and Annual Report on the Internet?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the day of the Annual Meeting, this Proxy Statement (which includes the Notice of Annual Meeting) and our 2025 Annual Report are available in the investors section of our corporate website at www.playtika.com. You may also view these materials at www.proxydocs.com/PLTK.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Who bears the cost of soliciting proxies?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bear the cost of soliciting proxies from our stockholders. In addition to solicitation by mail, our directors, officers, employees, and agents may solicit proxies by telephone, Internet, or otherwise. These directors, officers, and employees will not be additionally compensated for the solicitation but may be reimbursed for out-of-pocket expenses incurred in connection with the solicitation. Copies of solicitation materials will be furnished to brokerage firms, fiduciaries, and other custodians who hold shares of our common stock of record for beneficial owners for forwarding to such beneficial owners. We may also reimburse persons representing beneficial owners for their reasonable expenses incurred in forwarding such materials.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who authorize their proxies through the Internet should be aware that they may incur costs to access the Internet, such as usage charges from telephone companies or Internet service providers and these costs must be borne by the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5"/>
          <w:szCs w:val="25"/>
          <w:b w:val="1"/>
          <w:bCs w:val="1"/>
          <w:color w:val="auto"/>
        </w:rPr>
        <w:t>Stockholder Proposals for our 2027</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Annual Meeting</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stockholder proposal otherwise satisfying the eligibility requirements of SEC Rule 14a-8 to be considered for inclusion in our Proxy Statement for our 2027 annual meeting of stockholders, it must be received by us at our principal office, Playtika Ltd., HaChoshlim St 8, Herzliya Pituach, Israel, Attn: Corporate Secretary, on or before December 30, 2026.</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an eligible stockholder or group of stockholders to bring business (including director nominations) at our 2027 annual meeting of stockholders pursuant to our Bylaws, such eligible stockholder or group of stockholders must comply with the then current advance notice requirements in our Bylaws and deliver the proposal to our Corporate Secretary between February 11, 2027 and March 13, 2027 in order for such proposal to be considered timely. In addition, our Bylaws require the eligible stockholder or group of stockholders to update and supplement such information as of specified dates. For additional requirements, a stockholder may refer to our current Bylaws, a copy of which may be obtained from our Corporate Secretary upon request and without charge. See “Communications with the Board” for contact information. If we do not receive timely notice pursuant to our Bylaws, the proposal will be excluded from consideration at the meeting.</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organizational documents, to comply with the universal proxy rules, stockholders who intend to solicit proxies in support of director nominees other than our nominees must provide notice that sets forth the information required by Rule 14a-19 under the Exchange Act no later than April 12, 2027.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Forward-Looking Statements</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Private Securities Litigation Reform Act of 1995, Section 27A of the Securities Act of 1933, as amended, and Section 21E of the Exchange Act. When used in this Proxy Statement, the words “estimated”, “anticipated”, “expect”, “believe”, “intend” and similar expressions are intended to identify forward-looking statements. Forward-looking statements include discussions of strategy, plans or intentions of management. Forward-looking statements are subject to risks, uncertainties, and assumptions about Playtika, and future events and actual results, financial and otherwise, may differ materially from the results discussed in the forward-looking statements.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Readers are cautioned not to place undue reliance on forward-looking statements, which speak only as of the date of this Proxy Statement. While forward-looking statements reflect our good faith beliefs, they are not guarantees of future performance. We undertake no obligation to publicly release the results of any revisions to these forward-looking statements that may be made to reflect events or circumstances after the date of this Proxy Statement or to reflect the occurrence of unanticipated events.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Householding of Proxy Materials</w:t>
      </w: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 rules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banks and brokers with account holders that are our stockholders will be householding our proxy materials. A single Proxy Statement will be delivered to multiple stockholders sharing an address unless contrary instructions have been received from the affected stockholders. If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bank or broker and 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your written request to Investor Relations, at the contact information below. Stockholders who currently receive multiple copies of the Proxy Statement at their address and would like to request householding of their communications should contact their bank or broker.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Playtika Holding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HaChoshlim St 8, Herzliya Pituach,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ir@playtika.com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972-73-316-3251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Incorporation by Reference</w:t>
      </w: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set forth in any of our previous filings under the Securities Act of 1933, as amended, or the Exchange Act, which might incorporate future filings made by us under those statutes, the preceding Compensation Committee Report and Audit Committee Report will not be incorporated by reference into any of those prior filings, nor will any such reports be incorporated by reference into any future filings made by us under those statutes. In addition, information on our website, other than our Proxy Statement, Notice of Annual Meeting and form of proxy, is not part of the proxy soliciting material and is not incorporated herein by reference.</w:t>
      </w:r>
    </w:p>
    <w:p>
      <w:pPr>
        <w:spacing w:after="0" w:line="2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Michael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Michael Cohen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Legal Officer and</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5"/>
          <w:szCs w:val="25"/>
          <w:b w:val="1"/>
          <w:bCs w:val="1"/>
          <w:color w:val="auto"/>
        </w:rPr>
        <w:t>Appendix A</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r>
      <w:tr>
        <w:trPr>
          <w:trHeight w:val="213"/>
        </w:trPr>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Interest and other, net</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r>
      <w:tr>
        <w:trPr>
          <w:trHeight w:val="213"/>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659.6</w:t>
            </w:r>
          </w:p>
        </w:tc>
      </w:tr>
      <w:tr>
        <w:trPr>
          <w:trHeight w:val="216"/>
        </w:trPr>
        <w:tc>
          <w:tcPr>
            <w:tcW w:w="632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Stock-based compensation</w:t>
            </w:r>
            <w:r>
              <w:rPr>
                <w:rFonts w:ascii="Times New Roman" w:cs="Times New Roman" w:eastAsia="Times New Roman" w:hAnsi="Times New Roman"/>
                <w:sz w:val="21"/>
                <w:szCs w:val="21"/>
                <w:color w:val="auto"/>
                <w:vertAlign w:val="superscript"/>
              </w:rPr>
              <w:t>(1)</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16"/>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charges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13"/>
        </w:trPr>
        <w:tc>
          <w:tcPr>
            <w:tcW w:w="6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estimated value of contingent consideration</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9"/>
        </w:trPr>
        <w:tc>
          <w:tcPr>
            <w:tcW w:w="6320" w:type="dxa"/>
            <w:vAlign w:val="bottom"/>
            <w:shd w:val="clear" w:color="auto" w:fill="CCEEFF"/>
          </w:tcPr>
          <w:p>
            <w:pPr>
              <w:ind w:left="260"/>
              <w:spacing w:after="0" w:line="219" w:lineRule="exact"/>
              <w:rPr>
                <w:sz w:val="20"/>
                <w:szCs w:val="20"/>
                <w:color w:val="auto"/>
              </w:rPr>
            </w:pPr>
            <w:r>
              <w:rPr>
                <w:rFonts w:ascii="Times New Roman" w:cs="Times New Roman" w:eastAsia="Times New Roman" w:hAnsi="Times New Roman"/>
                <w:sz w:val="16"/>
                <w:szCs w:val="16"/>
                <w:color w:val="auto"/>
              </w:rPr>
              <w:t>Acquisition and related expenses</w:t>
            </w:r>
            <w:r>
              <w:rPr>
                <w:rFonts w:ascii="Times New Roman" w:cs="Times New Roman" w:eastAsia="Times New Roman" w:hAnsi="Times New Roman"/>
                <w:sz w:val="21"/>
                <w:szCs w:val="21"/>
                <w:color w:val="auto"/>
                <w:vertAlign w:val="superscript"/>
              </w:rPr>
              <w:t>(2)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6"/>
        </w:trPr>
        <w:tc>
          <w:tcPr>
            <w:tcW w:w="6320" w:type="dxa"/>
            <w:vAlign w:val="bottom"/>
            <w:tcBorders>
              <w:bottom w:val="single" w:sz="8" w:color="CCEEFF"/>
            </w:tcBorders>
          </w:tcPr>
          <w:p>
            <w:pPr>
              <w:ind w:left="260"/>
              <w:spacing w:after="0" w:line="216" w:lineRule="exact"/>
              <w:rPr>
                <w:sz w:val="20"/>
                <w:szCs w:val="20"/>
                <w:color w:val="auto"/>
              </w:rPr>
            </w:pPr>
            <w:r>
              <w:rPr>
                <w:rFonts w:ascii="Times New Roman" w:cs="Times New Roman" w:eastAsia="Times New Roman" w:hAnsi="Times New Roman"/>
                <w:sz w:val="16"/>
                <w:szCs w:val="16"/>
                <w:color w:val="auto"/>
              </w:rPr>
              <w:t>Other items</w:t>
            </w:r>
            <w:r>
              <w:rPr>
                <w:rFonts w:ascii="Times New Roman" w:cs="Times New Roman" w:eastAsia="Times New Roman" w:hAnsi="Times New Roman"/>
                <w:sz w:val="21"/>
                <w:szCs w:val="21"/>
                <w:color w:val="auto"/>
                <w:vertAlign w:val="superscript"/>
              </w:rPr>
              <w:t>(3)</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w:t>
      </w:r>
    </w:p>
    <w:p>
      <w:pPr>
        <w:spacing w:after="0" w:line="222" w:lineRule="exact"/>
        <w:rPr>
          <w:sz w:val="20"/>
          <w:szCs w:val="20"/>
          <w:color w:val="auto"/>
        </w:rPr>
      </w:pPr>
    </w:p>
    <w:p>
      <w:pPr>
        <w:ind w:left="260" w:hanging="252"/>
        <w:spacing w:after="0"/>
        <w:tabs>
          <w:tab w:leader="none" w:pos="26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stock-based compensation expense related to the issuance of equity awards to our employees and Directors.</w:t>
      </w:r>
    </w:p>
    <w:p>
      <w:pPr>
        <w:spacing w:after="0" w:line="224" w:lineRule="exact"/>
        <w:rPr>
          <w:rFonts w:ascii="Times New Roman" w:cs="Times New Roman" w:eastAsia="Times New Roman" w:hAnsi="Times New Roman"/>
          <w:sz w:val="23"/>
          <w:szCs w:val="23"/>
          <w:color w:val="auto"/>
          <w:vertAlign w:val="superscript"/>
        </w:rPr>
      </w:pPr>
    </w:p>
    <w:p>
      <w:pPr>
        <w:ind w:left="660" w:right="20" w:hanging="652"/>
        <w:spacing w:after="0" w:line="229" w:lineRule="auto"/>
        <w:tabs>
          <w:tab w:leader="none" w:pos="388"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incurred to evaluate and pursue acquisition activities as well as costs incurred by the Company in connection with the evaluation of strategic alternatives.</w:t>
      </w:r>
    </w:p>
    <w:p>
      <w:pPr>
        <w:spacing w:after="0" w:line="225" w:lineRule="exact"/>
        <w:rPr>
          <w:rFonts w:ascii="Times New Roman" w:cs="Times New Roman" w:eastAsia="Times New Roman" w:hAnsi="Times New Roman"/>
          <w:sz w:val="23"/>
          <w:szCs w:val="23"/>
          <w:color w:val="auto"/>
          <w:vertAlign w:val="superscript"/>
        </w:rPr>
      </w:pPr>
    </w:p>
    <w:p>
      <w:pPr>
        <w:ind w:left="660" w:hanging="652"/>
        <w:spacing w:after="0" w:line="241" w:lineRule="auto"/>
        <w:tabs>
          <w:tab w:leader="none" w:pos="265"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 for the year ended December 31, 2025 consists of $9.8 million and $2.0 million incurred by the Company related to restructuring activities and severance, respectively, and $1.1 million of reimbursement of a tax assessment paid under protest in 2023. The amount for the year ended December 31, 2024 consists primarily of $14.5 million and $6.9 million incurred by the Company related to severance and restructuring activities, respectively. The amount for the year ended December 31, 2023 consists primarily of $1.8 million incurred by the Company for severance and $1.0 million for a tax assessment paid under protest.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2"/>
      <w:numFmt w:val="bullet"/>
      <w:start w:val="1"/>
    </w:lvl>
  </w:abstractNum>
  <w:abstractNum w:abstractNumId="5">
    <w:nsid w:val="2901D82"/>
    <w:multiLevelType w:val="hybridMultilevel"/>
    <w:lvl w:ilvl="0">
      <w:lvlJc w:val="left"/>
      <w:lvlText w:val="3"/>
      <w:numFmt w:val="bullet"/>
      <w:start w:val="1"/>
    </w:lvl>
  </w:abstractNum>
  <w:abstractNum w:abstractNumId="6">
    <w:nsid w:val="3A95F874"/>
    <w:multiLevelType w:val="hybridMultilevel"/>
    <w:lvl w:ilvl="0">
      <w:lvlJc w:val="left"/>
      <w:lvlText w:val="4"/>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lvl w:ilvl="1">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3"/>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3"/>
    </w:lvl>
  </w:abstractNum>
  <w:abstractNum w:abstractNumId="24">
    <w:nsid w:val="2463B9EA"/>
    <w:multiLevelType w:val="hybridMultilevel"/>
    <w:lvl w:ilvl="0">
      <w:lvlJc w:val="left"/>
      <w:lvlText w:val="(%1)"/>
      <w:numFmt w:val="decimal"/>
      <w:start w:val="4"/>
    </w:lvl>
  </w:abstractNum>
  <w:abstractNum w:abstractNumId="25">
    <w:nsid w:val="5E884ADC"/>
    <w:multiLevelType w:val="hybridMultilevel"/>
    <w:lvl w:ilvl="0">
      <w:lvlJc w:val="left"/>
      <w:lvlText w:val="(%1)"/>
      <w:numFmt w:val="decimal"/>
      <w:start w:val="6"/>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4"/>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2"/>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decimal"/>
      <w:start w:val="2"/>
    </w:lvl>
    <w:lvl w:ilvl="1">
      <w:lvlJc w:val="left"/>
      <w:lvlText w:val="(%2)"/>
      <w:numFmt w:val="decimal"/>
      <w:start w:val="7"/>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upperLetter"/>
      <w:start w:val="35"/>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4"/>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2026-04-29T16:21:50Z</dcterms:created>
  <dcterms:modified xsi:type="dcterms:W3CDTF">2026-04-29T16:21:50Z</dcterms:modified>
</cp:coreProperties>
</file>