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7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7" w:lineRule="exact"/>
        <w:rPr>
          <w:sz w:val="24"/>
          <w:szCs w:val="24"/>
          <w:color w:val="auto"/>
        </w:rPr>
      </w:pPr>
    </w:p>
    <w:p>
      <w:pPr>
        <w:ind w:left="940" w:hanging="554"/>
        <w:spacing w:after="0"/>
        <w:tabs>
          <w:tab w:leader="none" w:pos="9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period ended December 31, 2025</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6" w:lineRule="exact"/>
        <w:rPr>
          <w:sz w:val="24"/>
          <w:szCs w:val="24"/>
          <w:color w:val="auto"/>
        </w:rPr>
      </w:pPr>
    </w:p>
    <w:p>
      <w:pPr>
        <w:ind w:left="940" w:hanging="554"/>
        <w:spacing w:after="0"/>
        <w:tabs>
          <w:tab w:leader="none" w:pos="9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7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001-39896</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PLAYTIKA HOLDING CORP.</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69" w:lineRule="exact"/>
        <w:rPr>
          <w:sz w:val="24"/>
          <w:szCs w:val="24"/>
          <w:color w:val="auto"/>
        </w:rPr>
      </w:pPr>
    </w:p>
    <w:p>
      <w:pPr>
        <w:ind w:left="2300"/>
        <w:spacing w:after="0"/>
        <w:tabs>
          <w:tab w:leader="none" w:pos="814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81-3634591</w:t>
      </w:r>
    </w:p>
    <w:p>
      <w:pPr>
        <w:spacing w:after="0" w:line="31" w:lineRule="exact"/>
        <w:rPr>
          <w:sz w:val="24"/>
          <w:szCs w:val="24"/>
          <w:color w:val="auto"/>
        </w:rPr>
      </w:pPr>
    </w:p>
    <w:p>
      <w:pPr>
        <w:ind w:left="1840"/>
        <w:spacing w:after="0"/>
        <w:tabs>
          <w:tab w:leader="none" w:pos="8040" w:val="left"/>
        </w:tabs>
        <w:rPr>
          <w:sz w:val="20"/>
          <w:szCs w:val="20"/>
          <w:color w:val="auto"/>
        </w:rPr>
      </w:pPr>
      <w:r>
        <w:rPr>
          <w:rFonts w:ascii="Times New Roman" w:cs="Times New Roman" w:eastAsia="Times New Roman" w:hAnsi="Times New Roman"/>
          <w:sz w:val="14"/>
          <w:szCs w:val="14"/>
          <w:b w:val="1"/>
          <w:bCs w:val="1"/>
          <w:color w:val="auto"/>
        </w:rPr>
        <w:t>(State of other jurisdiction</w:t>
      </w:r>
      <w:r>
        <w:rPr>
          <w:sz w:val="20"/>
          <w:szCs w:val="20"/>
          <w:color w:val="auto"/>
        </w:rPr>
        <w:tab/>
      </w:r>
      <w:r>
        <w:rPr>
          <w:rFonts w:ascii="Times New Roman" w:cs="Times New Roman" w:eastAsia="Times New Roman" w:hAnsi="Times New Roman"/>
          <w:sz w:val="14"/>
          <w:szCs w:val="14"/>
          <w:b w:val="1"/>
          <w:bCs w:val="1"/>
          <w:color w:val="auto"/>
        </w:rPr>
        <w:t>(I.R.S. Employer</w:t>
      </w:r>
    </w:p>
    <w:p>
      <w:pPr>
        <w:spacing w:after="0" w:line="30" w:lineRule="exact"/>
        <w:rPr>
          <w:sz w:val="24"/>
          <w:szCs w:val="24"/>
          <w:color w:val="auto"/>
        </w:rPr>
      </w:pPr>
    </w:p>
    <w:p>
      <w:pPr>
        <w:ind w:left="1640"/>
        <w:spacing w:after="0"/>
        <w:tabs>
          <w:tab w:leader="none" w:pos="8000" w:val="left"/>
        </w:tabs>
        <w:rPr>
          <w:sz w:val="20"/>
          <w:szCs w:val="20"/>
          <w:color w:val="auto"/>
        </w:rPr>
      </w:pPr>
      <w:r>
        <w:rPr>
          <w:rFonts w:ascii="Times New Roman" w:cs="Times New Roman" w:eastAsia="Times New Roman" w:hAnsi="Times New Roman"/>
          <w:sz w:val="14"/>
          <w:szCs w:val="14"/>
          <w:b w:val="1"/>
          <w:bCs w:val="1"/>
          <w:color w:val="auto"/>
        </w:rPr>
        <w:t>of 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 Playtika Ltd.</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HaChoshlim St 8</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Herzliya Pituach, Israel</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972-73-316-3251</w:t>
      </w:r>
    </w:p>
    <w:p>
      <w:pPr>
        <w:spacing w:after="0" w:line="1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PLTK</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7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jc w:val="both"/>
        <w:ind w:right="20"/>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44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5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09"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215" w:lineRule="exact"/>
        <w:tabs>
          <w:tab w:leader="none" w:pos="1720" w:val="left"/>
        </w:tabs>
        <w:rPr>
          <w:sz w:val="20"/>
          <w:szCs w:val="20"/>
          <w:color w:val="auto"/>
        </w:rPr>
      </w:pPr>
      <w:r>
        <w:rPr>
          <w:rFonts w:ascii="Times New Roman" w:cs="Times New Roman" w:eastAsia="Times New Roman" w:hAnsi="Times New Roman"/>
          <w:sz w:val="16"/>
          <w:szCs w:val="16"/>
          <w:color w:val="auto"/>
        </w:rPr>
        <w:t>report.</w:t>
      </w:r>
      <w:r>
        <w:rPr>
          <w:sz w:val="20"/>
          <w:szCs w:val="20"/>
          <w:color w:val="auto"/>
        </w:rPr>
        <w:tab/>
      </w:r>
      <w:r>
        <w:rPr>
          <w:rFonts w:ascii="Arial Unicode MS" w:cs="Arial Unicode MS" w:eastAsia="Arial Unicode MS" w:hAnsi="Arial Unicode MS"/>
          <w:sz w:val="16"/>
          <w:szCs w:val="16"/>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w:t>
      </w:r>
    </w:p>
    <w:p>
      <w:pPr>
        <w:spacing w:after="0" w:line="17" w:lineRule="exact"/>
        <w:rPr>
          <w:sz w:val="20"/>
          <w:szCs w:val="20"/>
          <w:color w:val="auto"/>
        </w:rPr>
      </w:pPr>
    </w:p>
    <w:p>
      <w:pPr>
        <w:spacing w:after="0" w:line="215" w:lineRule="exact"/>
        <w:tabs>
          <w:tab w:leader="none" w:pos="4760" w:val="left"/>
        </w:tabs>
        <w:rPr>
          <w:sz w:val="20"/>
          <w:szCs w:val="20"/>
          <w:color w:val="auto"/>
        </w:rPr>
      </w:pPr>
      <w:r>
        <w:rPr>
          <w:rFonts w:ascii="Times New Roman" w:cs="Times New Roman" w:eastAsia="Times New Roman" w:hAnsi="Times New Roman"/>
          <w:sz w:val="16"/>
          <w:szCs w:val="16"/>
          <w:color w:val="auto"/>
        </w:rPr>
        <w:t>correction of an error to previously issued financial statements.</w:t>
      </w:r>
      <w:r>
        <w:rPr>
          <w:sz w:val="20"/>
          <w:szCs w:val="20"/>
          <w:color w:val="auto"/>
        </w:rPr>
        <w:tab/>
      </w:r>
      <w:r>
        <w:rPr>
          <w:rFonts w:ascii="Arial Unicode MS" w:cs="Arial Unicode MS" w:eastAsia="Arial Unicode MS" w:hAnsi="Arial Unicode MS"/>
          <w:sz w:val="16"/>
          <w:szCs w:val="16"/>
          <w:color w:val="auto"/>
        </w:rPr>
        <w:t>☐</w:t>
      </w:r>
    </w:p>
    <w:p>
      <w:pPr>
        <w:spacing w:after="0" w:line="206"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Times New Roman" w:cs="Times New Roman" w:eastAsia="Times New Roman" w:hAnsi="Times New Roman"/>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60" w:lineRule="exact"/>
        <w:rPr>
          <w:sz w:val="20"/>
          <w:szCs w:val="20"/>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Based upon the last sale price of the registrant’s common stock, $0.01 par value, as reported on the Nasdaq Global Select Market on June 28, 2025, the last business day of the Registrant’s most recently completed second fiscal quarter, the aggregate market value of the common stock held by non-affiliates of the registrant as of such date was $362.8 million. For purposes of these computations only, all of the Registrant’s executive officers and directors and entities affiliated with them have been deemed to be affiliates.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23, 2026, the registrant had 379,334,306 shares of common stock, $0.01 par value per share, outstanding.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Part III, Items 10, 11, 12, 13, and 14 incorporate by reference certain specific portions of the definitive Proxy Statement for Playtika Holding Corp.’s 2026 Annual Meeting of Stockholders, to be filed pursuant to Regulation 14A. Only those portions of the Proxy Statement which are specifically incorporated by reference herein shall constitute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 w:name="page3"/>
    <w:bookmarkEnd w:id="2"/>
    <w:p>
      <w:pPr>
        <w:ind w:left="4280"/>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Cautionary Note About Forward Looking Statements</w:t>
            </w:r>
          </w:p>
        </w:tc>
        <w:tc>
          <w:tcPr>
            <w:tcW w:w="640" w:type="dxa"/>
            <w:vAlign w:val="bottom"/>
            <w:gridSpan w:val="5"/>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640" w:type="dxa"/>
            <w:vAlign w:val="bottom"/>
            <w:gridSpan w:val="5"/>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1a.</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1b.</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2"/>
              </w:rPr>
              <w:t>1c.</w:t>
            </w: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Cybersecurity Risk Management and Strategy</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61</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62</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68</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69</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7a.</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40" w:type="dxa"/>
            <w:vAlign w:val="bottom"/>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40" w:type="dxa"/>
            <w:vAlign w:val="bottom"/>
            <w:gridSpan w:val="5"/>
            <w:shd w:val="clear" w:color="auto" w:fill="CCEEFF"/>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99"/>
              </w:rPr>
              <w:t>86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140</w:t>
            </w: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2"/>
              </w:rPr>
              <w:t>9a.</w:t>
            </w: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140</w:t>
            </w: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9b.</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2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140</w:t>
            </w: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2"/>
              </w:rPr>
              <w:t>9c.</w:t>
            </w:r>
          </w:p>
        </w:tc>
        <w:tc>
          <w:tcPr>
            <w:tcW w:w="400" w:type="dxa"/>
            <w:vAlign w:val="bottom"/>
            <w:shd w:val="clear" w:color="auto" w:fill="CCEEFF"/>
          </w:tcPr>
          <w:p>
            <w:pPr>
              <w:spacing w:after="0"/>
              <w:rPr>
                <w:sz w:val="16"/>
                <w:szCs w:val="16"/>
                <w:color w:val="auto"/>
              </w:rPr>
            </w:pP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141</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141</w:t>
            </w:r>
          </w:p>
        </w:tc>
      </w:tr>
      <w:tr>
        <w:trPr>
          <w:trHeight w:val="21"/>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2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400" w:type="dxa"/>
            <w:vAlign w:val="bottom"/>
          </w:tcPr>
          <w:p>
            <w:pPr>
              <w:spacing w:after="0"/>
              <w:rPr>
                <w:sz w:val="16"/>
                <w:szCs w:val="16"/>
                <w:color w:val="auto"/>
              </w:rPr>
            </w:pP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141</w:t>
            </w: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141</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2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141</w:t>
            </w: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12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141</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89"/>
        </w:trPr>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8860" w:type="dxa"/>
            <w:vAlign w:val="bottom"/>
            <w:gridSpan w:val="24"/>
            <w:shd w:val="clear" w:color="auto" w:fill="CCEEFF"/>
          </w:tcPr>
          <w:p>
            <w:pPr>
              <w:ind w:left="400"/>
              <w:spacing w:after="0" w:line="189"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112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142</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w:t>
            </w:r>
          </w:p>
        </w:tc>
        <w:tc>
          <w:tcPr>
            <w:tcW w:w="6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8860" w:type="dxa"/>
            <w:vAlign w:val="bottom"/>
            <w:gridSpan w:val="24"/>
          </w:tcPr>
          <w:p>
            <w:pPr>
              <w:ind w:left="40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gridSpan w:val="7"/>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145</w:t>
            </w:r>
          </w:p>
        </w:tc>
      </w:tr>
      <w:tr>
        <w:trPr>
          <w:trHeight w:val="20"/>
        </w:trPr>
        <w:tc>
          <w:tcPr>
            <w:tcW w:w="26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12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Signatures</w:t>
            </w: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gridSpan w:val="7"/>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146</w:t>
            </w: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following terms are used in this Annual Report on Form 10-K unless otherwise noted or indicated by the context: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“ASC” means Accounting Standards Codification.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“ASU” means Accounting Standards Update.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“Average Revenue per Daily Active User” or “ARPDAU” means (i) the total revenue in a given period, (ii) divided by the number of days in that period, (iii) divided by the average Daily Active Users during that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“Average Revenue per Paying User” or “ARPPU” means (i) the total revenue derived from the purchase of in-game virtual items in a given period, (ii) divided by the number of days in that period, (iii) divided by the average DPUs during the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“Credit Agreement” means our Credit Agreement, dated as of December 10, 2019, by and among us, the lenders party thereto and Bank of America (as successor in interest to UBS AG, Stamford Branch and Credit Suisse AG, Cayman Islands Branch), as administrative agent and collateral agent and the other parties thereto, as amended from time to time, which includes the Credit Facilities, consisting of the Revolving Credit Facility and the Term Loan.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Facilities” means our Revolving Credit Facility and Term Loan, each pursuant to the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“Daily Active Users” or “DAUs” means the number of individuals who played one of our games during a particular day on a particular platform. Under this metric, an individual who plays two different games on the same day is counted as two DAUs. Similarly, an individual who plays the same game on two different platforms (e.g., web and mobile) or on two different social networks on the same day would be counted as two Daily Active Users. Average Daily Active Users for a particular period is the average of the DAUs for each day during that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“Daily Payer Conversion” means (i) the total number of Daily Paying Users, (ii) divided by the number of Daily Active Users on a particular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Daily Payer Conversion for a particular period is the average of the Daily Payer Conversion rates for each day during that 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“Daily Paying Users” or “DPUs” means the number of individuals who purchased, with real world currency, virtual currency or items in any of our games on a particular day. Under this metric, an individual who makes a purchase of virtual currency or items in two different games on the same day is counted as two DPUs. Similarly, an individual who makes a purchase of virtual currency or items in any of our games on two different platforms (e.g., web and mobile) or on two different social networks on the same day could be counted as two Daily Paying Users. Average Daily Paying Users for a particular period is the average of the DPUs for each day during that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“GAAP” means accounting principles generally accepted in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“GDPR” means the General Data Protection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“Giant” means Giant Investment Co., Ltd.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“Monthly Active Users” or “MAUs” means the number of individuals who played one of our games during a calendar month on a particular platform. Under this metric, an individual who plays two different games in the same calendar month is counted as two MAUs. Similarly, an individual who plays the same game on two different platforms (e.g., web and mobile) or on two different social networks during the same month would be counted as two Monthly Active Users. Average Monthly Active Users for a particular period is the average of the MAUs for each month during that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“Nasdaq” means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“Notes” means our $600.0 million aggregate principal amount of our 4.250% senior notes due 2029 pursuant to an indenture dated March 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“Playtika,” the “Company,” “we,” “us” and “our” mean Playtika Holding Corp. and its subsidiaries.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“Playtika Holding UK” means Playtika Holding UK II Limited, a company formed under the laws of England and Wales, and a wholly owned subsidiary of Alpha Frontier Limited, a company formed under the laws of the Cayman Islands.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“Revolving Credit Facility” means our $550.0 million senior secured revolving credit facility pursuant to the Credit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“SOFR” means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 Loan” means our $1,900.0 million senior secured first lien term loan pursuant to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ABOUT FORWARD 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including the documents incorporated by reference, contains or may contain forward-looking statements within the meaning of the Private Securities Litigation Reform Act of 1995 and Section 21E of the Exchange Act. All statements other than statements of historical facts contained in this annual report, including statements regarding our business strategy, plans and our objectives for future operations, are forward-looking statements. Further, statements that include words such as "anticipate," "believe," "continue," "could," "estimate," "expect," "future," "intend," "intent," "may," "might," "potential," "present," "preserve," "project," "pursue," "should," "will," or "would," or the negative of these words or other words or expressions of similar meaning may identify forward-looking statements.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important factors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on Form 10-K.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statements discussed in this Annual Report on Form 10-K, including the documents incorporated by reference, may not occur and actual results could differ materially and adversely from those anticipated, predicted or implied in the forward-looking statements.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estimates or projections contained in the forward-looking statements include without limitation:</w:t>
      </w:r>
    </w:p>
    <w:p>
      <w:pPr>
        <w:spacing w:after="0" w:line="189" w:lineRule="exact"/>
        <w:rPr>
          <w:sz w:val="20"/>
          <w:szCs w:val="20"/>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our majority shareholder or other third parties that influence us;</w:t>
      </w:r>
    </w:p>
    <w:p>
      <w:pPr>
        <w:spacing w:after="0" w:line="27" w:lineRule="exact"/>
        <w:rPr>
          <w:rFonts w:ascii="Times New Roman" w:cs="Times New Roman" w:eastAsia="Times New Roman" w:hAnsi="Times New Roman"/>
          <w:sz w:val="18"/>
          <w:szCs w:val="18"/>
          <w:color w:val="auto"/>
        </w:rPr>
      </w:pPr>
    </w:p>
    <w:p>
      <w:pPr>
        <w:ind w:left="1300" w:right="2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platforms, such as the iOS App Store and Google Play Store, to distribute our games and collect revenues, and the risk that such platforms may adversely change their policies;</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games to generate the majority of our revenue;</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small percentage of total users to generate a majority of our revenue;</w:t>
      </w:r>
    </w:p>
    <w:p>
      <w:pPr>
        <w:spacing w:after="0" w:line="9" w:lineRule="exact"/>
        <w:rPr>
          <w:rFonts w:ascii="Times New Roman" w:cs="Times New Roman" w:eastAsia="Times New Roman" w:hAnsi="Times New Roman"/>
          <w:sz w:val="18"/>
          <w:szCs w:val="18"/>
          <w:color w:val="auto"/>
        </w:rPr>
      </w:pP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free-to-play business model, and the value of virtual items sold in our games, is highly dependent on how we manage the game revenues and pricing models;</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refinance our indebtedness or to obtain additional financing on favorable terms or at all;</w:t>
      </w:r>
    </w:p>
    <w:p>
      <w:pPr>
        <w:spacing w:after="0" w:line="9" w:lineRule="exact"/>
        <w:rPr>
          <w:rFonts w:ascii="Times New Roman" w:cs="Times New Roman" w:eastAsia="Times New Roman" w:hAnsi="Times New Roman"/>
          <w:sz w:val="18"/>
          <w:szCs w:val="18"/>
          <w:color w:val="auto"/>
        </w:rPr>
      </w:pPr>
    </w:p>
    <w:p>
      <w:pPr>
        <w:jc w:val="both"/>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identify acquisition targets that fit our strategy or complete acquisitions and integrate any acquired businesses successfully or realize the anticipated benefits of such acquisitions could limit our growth, disrupt our plans and operations or impact the amount of capital allocated to mergers and acquisitions;</w:t>
      </w:r>
    </w:p>
    <w:p>
      <w:pPr>
        <w:spacing w:after="0" w:line="1"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industry with low barriers to entry;</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players, attract new players and increase the monetization of our player base;</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and/or launch new products and content or otherwise execute against our product roadmap strategy;</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are subject to the obligations and restrictive covenants under our debt instruments;</w:t>
      </w:r>
    </w:p>
    <w:p>
      <w:pPr>
        <w:spacing w:after="0" w:line="9" w:lineRule="exact"/>
        <w:rPr>
          <w:rFonts w:ascii="Times New Roman" w:cs="Times New Roman" w:eastAsia="Times New Roman" w:hAnsi="Times New Roman"/>
          <w:sz w:val="18"/>
          <w:szCs w:val="18"/>
          <w:color w:val="auto"/>
        </w:rPr>
      </w:pP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economic recession or periods of increased inflation, and any reductions to household spending on the types of discretionary entertainment we offer;</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controlled company status;</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restrictions or proceedings could adversely impact our business and limit the growth of our operations;</w:t>
      </w:r>
    </w:p>
    <w:p>
      <w:pPr>
        <w:spacing w:after="0" w:line="9" w:lineRule="exact"/>
        <w:rPr>
          <w:rFonts w:ascii="Times New Roman" w:cs="Times New Roman" w:eastAsia="Times New Roman" w:hAnsi="Times New Roman"/>
          <w:sz w:val="18"/>
          <w:szCs w:val="18"/>
          <w:color w:val="auto"/>
        </w:rPr>
      </w:pPr>
    </w:p>
    <w:p>
      <w:pPr>
        <w:ind w:left="1300" w:hanging="563"/>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and ownership, including our significant operations in Israel, and Ukraine and the fact that our controlling stockholder is a Chinese-owned company;</w:t>
      </w: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the Wars in Israel and Ukraine;</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other factors affecting the payment of dividends, including the decision whether or not to pay a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ind w:left="1300" w:hanging="56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amount and timing of repurchases under our stock repurchase program;</w:t>
      </w:r>
    </w:p>
    <w:p>
      <w:pPr>
        <w:spacing w:after="0" w:line="27"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other disruptions could compromise our information or our players’ information and expose us to liability; and</w:t>
      </w:r>
    </w:p>
    <w:p>
      <w:pPr>
        <w:spacing w:after="0" w:line="9"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and proprietary information could adversely impact our business.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statements about the impact of the Wars in Israel and Ukraine are subject to the risks that hostilities may escalate and expand and that the actual impact may differ, possibly materially, from what is currently expected. Additional factors that may cause future events and actual results, financial or otherwise, to differ, potentially materially, from those discussed in or implied by the forward-looking statements include the risks and uncertainties discussed in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in this Annual Report on Form 10-K. Although we believe that the expectations reflected in the forward-looking statements are reasonable,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guarantee that the future results, levels of activity, performance or events and circumstances reflected in the forward-looking statements will be achieved or occur, and reported results should not be considered as an indication of future performance. Given these risks and uncertainties, readers are cautioned not to place undue reliance on such forward-looking statements.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forward-looking statements speak only as of the date they are made. Except as required by law, we undertake no obligation to update any forward-looking statements for any reason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unless the context suggests otherwise, the terms “Playtika,” the “Company,” “we,” “our,” and “us” mean Playtika Holding Corp. and its subsidiaries.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entertain the world through infinite ways to play.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world’s leading operators of mobile games creating fun, innovative experiences that entertain and engage our users. We have built best-in-class live game operations services and a proprietary technology platform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release of new features that are customized for different player segments. As a result, we have retained paying users over long periods of time.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primarily grown our game portfolio through acquisitions. In certain acquisitions, we seek to enhance the scale and profitability of those games by leveraging our live operations services. By leveraging these operations, our game studios can dedicate a greater portion of their time to creating innovative content, features, and experiences for players. In other acquisitions, studios operate largely independently of these centralized functions, at least initially.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powerful combination of scale and free cash flow. In the year ended December 31, 2025, we generated $2,755.4 million in revenues, net loss of $206.4 million and $753.2 million in Adjusted EBITDA, representing a net loss margin of 7.5%, and an Adjusted EBITDA margin of 27.3%.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founded in Israel in 2010 and on January 15, 2021, we became a publicly traded company with our common stock traded on the Nasdaq Global Select Market under the ticker symbol “PLTK.”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Core Strengths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of sustainable, top grossing games with a loyal user base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strategy is to focus on a portfolio of games that we believe have the potential for high revenues and longevity that we can continue to grow through our live operations expertise. Our current portfolio represents a diverse and balanced mix of game categories with casual titles continuing to become a larger majority of our overall mix. Our goal is to create games that are highly engaging and foster social connection among our players. We build long-term, sustainable games through a combination of creative and technical staff that includes storytellers, coders, artists, and data-scientists.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experts in live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run best-in-class live operations for our games, which drive the successful engagement and monetization of our users. Through our live operations, we actively manage and enhance players’ in-game experiences by analyzing individual gameplay and designing game experiences suited to user preferences. By delivering content, offers, and features to users at the right times during their gameplay, we drive paying user conversion, continued monetization, and long-term paying user retention. We provide our game studios with various technical functionalities and live operations services that help to enable our games to run at scale and rapidly incorporate the latest available functional enhancements, including AI and automation tools which help drive efficiency and optimization.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discipline drives our success and provides us greater flexibility to deploy capital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attractive margin profile is driven by our ability to retain paying users over the long term, our ownership of a majority of the intellectual property used in our mobile games, and financial discipline. This results in a superior margin profile and cash flow that we can use to reinvest in acquisitions and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Founder-led management team with longstanding tenure at Playtika</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led by our visionary co-founder, Robert Antokol, who has managed Playtika since inception, transforming the Company from a small games business, through numerous acquisitions and steady organic growth, to become one of the largest mobile games platforms in the world. Further, most of our senior management team has been working with us in various capacities for a significant part of the Company’s history.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track record of pursuing value accretive acquisitions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acquisition strategy has historically been focused on identifying and acquiring games with broad appeal and scalable leadership potential in their genres. We maintain a highly disciplined approach to acquisitions and have a proven history of making acquisitions at attractive prices and achieving meaningful synergies.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Data-driven performance marketing capabilities drive our high-ROI user acquisition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marketing capabilities focus on cost-effectively acquiring users. While we maintain certain centralized marketing functions to achieve efficiencies across our portfolio of games, we have adopted a custom-tailored approach to marketing to align with the lifecycle, performance profile and long-term potential of each game, with certain studios having largely independent marketing functions that are better able to deploy strategies that are most effective for the particular studio. Our user acquisition strategy is centered on a payback period methodology and we optimize spend between the acquisition of new users and the reactivation of inactive players. Our Daily Payer Conversion increased from 3.8% in the year ended December 31, 2024, to 4.4% in the year ended December 31, 2025, and our ARPDAU increased from $0.86 in the year ended December 31, 2024, to $0.89 in the year ended December 31, 2025. In addition, our average DPUs increased from 0.312 million in December 31, 2024 to 0.370 million in the year ended December 31,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Live Operations 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founding, we have developed and licensed a significant portion of the core technical functionality and services that form the backbone to support our games. We have built these core technical functions and services, and created a scalable, proprietary technology platform that enhances our live operations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platform includes:</w:t>
      </w:r>
    </w:p>
    <w:p>
      <w:pPr>
        <w:spacing w:after="0" w:line="252"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advanced and easy to use gaming operation tools, which enables the use of digital and AI technologies to optimize marketing, game operations and monetization, including generative AI models for efficient art processes and for our customer support and VIP processes;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 games and monetization events, including tournaments, challenges, and missions;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systems, including payment page optimization tools used for direct-to-consumer and Playtika Webstore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identity capabilities to enable user registration with our games and across Playtika’s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analytics infrastructure, including business intelligence, simulation, and modelling frameworks and dashboards;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user data, including segmentation and grouping, enabling customizable content curation;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gaming infrastructure, including multiplayer game services, match-making algorithms, clans, and intra-game social networking;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monitoring, disaster recovery, alerts, and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One of our core strengths lies in our ability to generate assets that maintain the distinct style and character fidelity of each individual game in our portfolio. Our efforts have involved automating the process of generating creative content for features and promos using generative AI models. We also utilize generative AI on VIP and Customer Support domains, where our agents will receive suggestions, recommendations, localization and translations based on large language models integrated into their work platform.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also a number of additional services we provide to studios, based on their game’s needs and strategies, including:</w:t>
      </w:r>
    </w:p>
    <w:p>
      <w:pPr>
        <w:spacing w:after="0" w:line="252" w:lineRule="exact"/>
        <w:rPr>
          <w:sz w:val="20"/>
          <w:szCs w:val="20"/>
          <w:color w:val="auto"/>
        </w:rPr>
      </w:pPr>
    </w:p>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 of gaming operation tools described above which can be used to maximize efficiency and designed to enhance revenue by personalizing the player experience;</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Player Journey: Proprietary software and AI-driven tools that allows game operators to create and deploy personalized game content in real-time, without extensive software development;</w:t>
      </w: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Campaign Manager: Suite of tools and systems enabling outbound communication with players (push notifications, email, SMS, social networks, etc.);</w:t>
      </w: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Suite: Enhanced data-driven tools for managing user acquisition and retargeting campaigns, based on Lifetime Value predictions and budget allocation recommendations models driven by AI, reducing operation time and increasing efficiency; operates ad-monetization activities by managing automatic and manual auctions and bids;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 Boost: An end-to-end system for planning, executing, an analyzing experiments for AB testing, offers automation and optimization using statistical calculations and AI recommendations;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 Machine Learning: Software and algorithms to support artificial intelligence and machine learning models to enhance and supplement traditional data analytics;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Additional tools and software for customer relationship management, account management, and customer service activities; and</w:t>
      </w: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 Office Services Software (BOSS): Suite of back-office support software that helps manage day-to-day game operations and configurations in one place.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live operations services are constantly evolving as our culture of innovation and optimization allows us to share and implement improvements across our portfolio of games and game studios. Our proprietary technology allows us to analyze data across the full user lifecycle—from user acquisition, through monetization and retention—helping our studios make smarter decisions related to player engagement and monetization. We are able to use our scale to gain significant insight into the operations of our games and refine and implement effective strategies with respect to feature innovation, content cadence, loyalty rewards, game economies, and player segmentation.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Feature Development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strive to create features and player experiences that optimize player engagement, intended to result in increased conversion and monetization. We are focused on continuing to implement and enhance features that keep games fresh and increase user engagement, including awarding in-game virtual items, providing engaging new game themes, motifs, challenges and in-game missions, as well as in-game chat and messaging capabilities. We serve these features to our users based on their preferences and the optimal timing during each player’s gameplay. Depending on the circumstances, this could mean increasing or decreasing the amount of new features for our players.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Acquisitions Strategy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highly disciplined approach to acquisitions and have a proven history of acquiring games and game studios at attractive prices and driving incremental stockholder value from those games. Over the past 14 years, we have successfully acquired a number of mobile games and studios, including SuperPlay (2024), InnPlay Studios (2023), Youda Games (2023), JustPlay (2022), Reworks (2021), Seriously (2019), Supertreat (2019), Wooga (2018), Jelly Button (2017), House of Fun (2014), World Series of Poker (2013) and Bingo Blitz (2012).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our strategy involves identifying potential acquisition targets that fall into one of five categories:</w:t>
      </w:r>
    </w:p>
    <w:p>
      <w:pPr>
        <w:spacing w:after="0" w:line="252"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developed or underperforming games with a proven game concept in our core genres to facilitate improvement in engagement, monetization, and retention;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0" w:name="page11"/>
    <w:bookmarkEnd w:id="10"/>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games in our core genres, to increase the trajectory of the games;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types of business models within mobile games as well as new genres of games within in-app purchase mobile games;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Businesses and applications that enable us to further leverage our existing technology and capabilities to offer live-ops and monetization solutions to game developers; or</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fast growing games in established genres that will enhance our growth profile.</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acquisitions, we deploy our live operations services to enhance, where possible, the existing live operations capabilities and seek to integrate them into our technical infrastructure. Our geographic diversity allows us to integrate acquisition targets, especially studios located in Europe near our other studios and our headquarters in Israel. Acquisitions have historically served as a pivotal strategy for increasing our mobile game offerings and enhancing the diversity and strength of our portfolio.</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we continue to expand our portfolio through the acquisition of additional studios and/or the development of new games, we expect to incur increased operating expenses associated with games that are in the early stages of their lifecycle. These games typically generate revenue at lower operating margins, which may dilute our overall operating margins during the period of development and ramp-up. In addition, aside from </w:t>
      </w:r>
      <w:r>
        <w:rPr>
          <w:rFonts w:ascii="Times New Roman" w:cs="Times New Roman" w:eastAsia="Times New Roman" w:hAnsi="Times New Roman"/>
          <w:sz w:val="18"/>
          <w:szCs w:val="18"/>
          <w:i w:val="1"/>
          <w:iCs w:val="1"/>
          <w:color w:val="auto"/>
        </w:rPr>
        <w:t>Bingo Blitz</w:t>
      </w:r>
      <w:r>
        <w:rPr>
          <w:rFonts w:ascii="Times New Roman" w:cs="Times New Roman" w:eastAsia="Times New Roman" w:hAnsi="Times New Roman"/>
          <w:sz w:val="18"/>
          <w:szCs w:val="18"/>
          <w:color w:val="auto"/>
        </w:rPr>
        <w:t>, our casual games have historically generated lower operating margins compared to our social casino-themed games. As a result, shifts in portfolio mix toward these categories may impact our overall operating margins.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Player Lifecycle Management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our history, we have gained significant expertise in acquiring new users, converting users to payers, retaining active users, and re-engaging inactive users. Our success stems from a deep and nuanced understanding of the key aspects of data-based marketing strategies applicable to our industry, including how to measure successful user acquisition as it relates to mobile games, where to allocate marketing spend, how to optimize media buying budgets, and how to design ads that attract users who are likely to install and play our games.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tailored monetization and retention strategies for different parts of our users’ lifecycles, including before they become paying users, after they become paying users, and for users who become inactive. We operate a centralized marketing team that performs key functions like media buying on behalf of certain studios but also allow certain studios to retain varying degrees of control over their own marketing activities to ensure that resources are allocated efficiently to support our high potential growth games. We have also brought certain marketing capabilities in house through acquisitions to increase our effectiveness.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Payback period-oriented approach to user acquisition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disciplined user acquisition strategy is centered on a payback period approach, which focuses on user monetization efforts that recoups our marketing spend during a reasonable timeframe. We focus on efficiently acquiring users that can be active for long periods of time. We acquire users from a wide range of sources, including mobile ad networks, search and social networks.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Re-targeting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re-targeting campaigns to reactivate our inactive users. We have made significant investments in our measurement and re-targeting capabilities, and intend to continue to focus on these capabilities, particularly as many of our games were released several years ago. We leverage these investments to create retargeting campaigns that are more relevant and optimized to re-engage former users. Our attractive margin profile is driven by our ability to retain paying users over the long term, our ownership of a majority of the intellectual property used in our mobile games, and financial discipline. This results in a superior margin profile and cash flow that we can use to reinvest in acquisitions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Our Portfolio of Games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portfolio includes 27 games, 15 of which we actively manage and promote, and our top ten games collectively represented 90.2% of our revenues for the year ended December 31, 2025. Many of our games are classic in nature with mass appeal due to their highly engaging game mechanics. For the year ended December 31, 2025, our casual games generated 70.8% of our revenues, with our social casino-themed games accounting for the remaining 29.2%. Our two largest games, </w:t>
      </w:r>
      <w:r>
        <w:rPr>
          <w:rFonts w:ascii="Times New Roman" w:cs="Times New Roman" w:eastAsia="Times New Roman" w:hAnsi="Times New Roman"/>
          <w:sz w:val="18"/>
          <w:szCs w:val="18"/>
          <w:i w:val="1"/>
          <w:iCs w:val="1"/>
          <w:color w:val="auto"/>
        </w:rPr>
        <w:t>Bingo Blitz</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generated approximately 35% of our revenues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Top 10 Games (listed alphabetically)</w:t>
      </w:r>
    </w:p>
    <w:p>
      <w:pPr>
        <w:spacing w:after="0" w:line="254" w:lineRule="exact"/>
        <w:rPr>
          <w:sz w:val="20"/>
          <w:szCs w:val="20"/>
          <w:color w:val="auto"/>
        </w:rPr>
      </w:pPr>
    </w:p>
    <w:p>
      <w:pPr>
        <w:ind w:left="66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Bingo Blitz </w:t>
      </w:r>
      <w:r>
        <w:rPr>
          <w:rFonts w:ascii="Times New Roman" w:cs="Times New Roman" w:eastAsia="Times New Roman" w:hAnsi="Times New Roman"/>
          <w:sz w:val="18"/>
          <w:szCs w:val="18"/>
          <w:color w:val="auto"/>
        </w:rPr>
        <w:t>is a bingo adventure where users progress through various levels in the theme of major global cities and are able to connect with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earn virtual items and bonuses, including additional virtual coins and power-ups.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Caesars Slots </w:t>
      </w:r>
      <w:r>
        <w:rPr>
          <w:rFonts w:ascii="Times New Roman" w:cs="Times New Roman" w:eastAsia="Times New Roman" w:hAnsi="Times New Roman"/>
          <w:sz w:val="18"/>
          <w:szCs w:val="18"/>
          <w:color w:val="auto"/>
        </w:rPr>
        <w:t>features an inventory of over 200 slot games developed to have a look and feel similar to those played in casinos, including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roller lounges only accessible to those with a certain amount of virtual coins.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Dice Dreams </w:t>
      </w:r>
      <w:r>
        <w:rPr>
          <w:rFonts w:ascii="Times New Roman" w:cs="Times New Roman" w:eastAsia="Times New Roman" w:hAnsi="Times New Roman"/>
          <w:sz w:val="18"/>
          <w:szCs w:val="18"/>
          <w:color w:val="auto"/>
        </w:rPr>
        <w:t>is a coin looter game where players roll dice to earn virtual in-game coins and rewards used to build and upgrade their kingdoms,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through levels, and engage in social interactions with other players.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Disney Solitaire </w:t>
      </w:r>
      <w:r>
        <w:rPr>
          <w:rFonts w:ascii="Times New Roman" w:cs="Times New Roman" w:eastAsia="Times New Roman" w:hAnsi="Times New Roman"/>
          <w:sz w:val="18"/>
          <w:szCs w:val="18"/>
          <w:color w:val="auto"/>
        </w:rPr>
        <w:t>offers a fresh take on the classic TriPeaks solitaire game, featuring Disney and Pixar–themed content, in which players progress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levels with iconic characters and nostalgic moments to earn in-game rewards.</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Domino Dreams </w:t>
      </w:r>
      <w:r>
        <w:rPr>
          <w:rFonts w:ascii="Times New Roman" w:cs="Times New Roman" w:eastAsia="Times New Roman" w:hAnsi="Times New Roman"/>
          <w:sz w:val="18"/>
          <w:szCs w:val="18"/>
          <w:color w:val="auto"/>
        </w:rPr>
        <w:t>reinvents classic dominoes game with matching puzzles to earn rewards and stars to build and restore royal kingdoms as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 through challenging levels.</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House of Fun </w:t>
      </w:r>
      <w:r>
        <w:rPr>
          <w:rFonts w:ascii="Times New Roman" w:cs="Times New Roman" w:eastAsia="Times New Roman" w:hAnsi="Times New Roman"/>
          <w:sz w:val="18"/>
          <w:szCs w:val="18"/>
          <w:color w:val="auto"/>
        </w:rPr>
        <w:t>features an inventory of over 300 games, including a catalogue of uniquely themed games, with a standard leveling system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players earn virtual in-game items including virtual rewards, bonuses and coins progressing through various missions that are updated regularly.</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June’s Journey </w:t>
      </w:r>
      <w:r>
        <w:rPr>
          <w:rFonts w:ascii="Times New Roman" w:cs="Times New Roman" w:eastAsia="Times New Roman" w:hAnsi="Times New Roman"/>
          <w:sz w:val="18"/>
          <w:szCs w:val="18"/>
          <w:color w:val="auto"/>
        </w:rPr>
        <w:t>is a hidden object game that is set in the 1920’s, where players step into the role of amateur detective June Parker to investigate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mysterious quests.</w:t>
      </w:r>
    </w:p>
    <w:p>
      <w:pPr>
        <w:jc w:val="both"/>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Slotomania </w:t>
      </w:r>
      <w:r>
        <w:rPr>
          <w:rFonts w:ascii="Times New Roman" w:cs="Times New Roman" w:eastAsia="Times New Roman" w:hAnsi="Times New Roman"/>
          <w:sz w:val="18"/>
          <w:szCs w:val="18"/>
          <w:color w:val="auto"/>
        </w:rPr>
        <w:t>is a premier social slots game with an inventory of over 300 original slot games where players earn in-game virtual rewards and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coins and have the ability to purchase virtual items, including virtual coins, boosts and other items to further their progression and unlock more virtual rewards.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Solitaire Grand Harvest </w:t>
      </w:r>
      <w:r>
        <w:rPr>
          <w:rFonts w:ascii="Times New Roman" w:cs="Times New Roman" w:eastAsia="Times New Roman" w:hAnsi="Times New Roman"/>
          <w:sz w:val="18"/>
          <w:szCs w:val="18"/>
          <w:color w:val="auto"/>
        </w:rPr>
        <w:t>modernizes the classic solitaire game by adding new elements and challenges.</w:t>
      </w:r>
    </w:p>
    <w:p>
      <w:pPr>
        <w:spacing w:after="0" w:line="9" w:lineRule="exact"/>
        <w:rPr>
          <w:rFonts w:ascii="Times New Roman" w:cs="Times New Roman" w:eastAsia="Times New Roman" w:hAnsi="Times New Roman"/>
          <w:sz w:val="18"/>
          <w:szCs w:val="18"/>
          <w:i w:val="1"/>
          <w:iCs w:val="1"/>
          <w:color w:val="auto"/>
        </w:rPr>
      </w:pPr>
    </w:p>
    <w:p>
      <w:pPr>
        <w:ind w:left="660" w:right="20" w:hanging="328"/>
        <w:spacing w:after="0" w:line="260" w:lineRule="auto"/>
        <w:tabs>
          <w:tab w:leader="none" w:pos="65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World Series of Poker </w:t>
      </w:r>
      <w:r>
        <w:rPr>
          <w:rFonts w:ascii="Times New Roman" w:cs="Times New Roman" w:eastAsia="Times New Roman" w:hAnsi="Times New Roman"/>
          <w:sz w:val="18"/>
          <w:szCs w:val="18"/>
          <w:color w:val="auto"/>
        </w:rPr>
        <w:t>is the official social app of the World Series of Poker and allows players to compete with friends and other players to 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own virtual World Series of Poker Bracelet.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design team has extensive expertise in creating new content and gameplay features as well as proprietary tools and systems to enable the efficient design, development and implementation of new content and features. We invest heavily in research and development, and, as of December 31, 2025, approximately 74% of our employees were employed in research and development, which enables us to consistently introduce updates and enhancements to our games, which we strive to do on an effective basis.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diverse pool of talent located in game development hubs, including in Israel and Germany. This provides us with both a funnel of new, internally developed game concepts, ideas for improvements to our systems, and close relationships with those local game-development communities.</w:t>
      </w: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all aspects of our business. Our primary competitors include Tencent Holdings, Activision Blizzard (Microsoft), Electronic Arts, Zynga (Take-Two Interactive), SciPlay (Light &amp; Wonder), Product Madness (Aristocrat), Moon Active, Scopely (Savvy Games) and Dream Games. On the broadest scale, we compete for the leisure time, attention and discretionary spending of our players versus other forms of offline and online entertainment, including social media, reading and other video games on the basis of a number of factors, including quality of player experience, breadth and depth of gameplay, ability to create or license compelling content, brand awareness and reputation and access to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factors, among other things, enable us to compete effectively in the market. Our industry and the markets for our games, however, are highly competitive, rapidly evolving, fragmented and subject to changing technology, shifting needs and frequent introductions of new games, development platforms and services. Successful execution of our strategy depends on our continuous ability to attract and retain players, expand the market for our games, convert inactive players into paying users, maintain a technological edge and offer new capabilities to players. In some cases, we compete against gaming operators who could expand their product lines to include more directly competitive games that could compete with our content.</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current and potential competitors enjoy substantial competitive advantages, such as greater name recognition, longer operating histories, greater financial, technical and other resources, and, in some cases, the ability to rapidly combine online platforms with full-time and temporary employees. Internationally, local competitors may have greater brand recognition than us in their local country and a stronger understanding of local culture and commerce. They may also offer their products and services in local languages we do not offer.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our intellectual property rights, including our trademarks, copyrights, and trade secrets, in the aggregate, material to our business. We endeavor to protect our investment in our intellectual property by seeking protection in the jurisdictions where we do business, as appropriate. We generally obtain trademark protection and often seek to register trademarks for the names and designs under which we market and license our games. As of December 31, 2025, we owned approximately 1,139 registered trademarks in the United States, and approximately 1,205 registered trademarks in jurisdictions outside of the United States. Additionally, many of the feature elements of our games, including game characters, are subject to copyright protection.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intellectual property that we own, we license certain intellectual property from third parties. For example, we license intellectual property related to our Caesars Slots and World Series of Poker games and have been granted an exclusive, worldwide and royalty-bearing license to certain intellectual property associated with World Series of Poker through September 23, 2031, and an exclusive, worldwide and royalty-bearing sublicense to certain trademarks and domain names associated with Caesars Slots through December 31, 2026. These licenses permit the development, design, manufacture, offering for sale, advertising, promotion, distribution, sale and use of Caesars Slots and World Series of Poker intellectual property in social and free-to-play games. Also, notably, our fastest-growing title in 2025 was Disney Solitaire, a licensed collaboration between Disney and Pixar Games and our SuperPlay studio based on Disney intellectual property.</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value associated with our brands and the brands licensed under which we market and license our games contributes to the appeal and success of our games, and our future ability to develop, acquire or license new brand names of similar quality is important to our continued success. Therefore, we continue to invest in the recognition of our brands and the brands we license. Despite our efforts to protect our proprietary rights, unauthorized parties may attempt to copy or otherwise obtain and use our technology. In addition, third parties may initiate litigation against us alleging infringement of their proprietary rights or declaring their non-infringement of our intellectual property rights. Effective intellectual property protection may not be available in the United States or other jurisdictions where our games are distributed. Further, we may be unable to renew our existing brand and content licenses on favorable terms or at all and to obtain additional licenses, which could materially harm our business, financial condition, results of operations and prospects. See “</w:t>
      </w:r>
      <w:r>
        <w:rPr>
          <w:rFonts w:ascii="Times New Roman" w:cs="Times New Roman" w:eastAsia="Times New Roman" w:hAnsi="Times New Roman"/>
          <w:sz w:val="18"/>
          <w:szCs w:val="18"/>
          <w:i w:val="1"/>
          <w:iCs w:val="1"/>
          <w:color w:val="auto"/>
        </w:rPr>
        <w:t>Risk Factors—Risks Related to Intellectual Property</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state, federal and international laws and regulations that apply to companies operating online, including over the internet and mobile platforms, such as those relating to privacy, data security, consumer protection, protection of minors, online safety, advertising and marketing, intellectual property, competition, and taxation, among others, all of which are continuously evolving and developing. As we offer our games in many countries worldwide, foreign jurisdictions may claim we are required to comply with local laws, including in jurisdictions where we have no local presence, offices, or other equipment. It is also likely that as our business grows and evolves and our games are played in a greater number of countries, we will become subject to laws and regulations in additional jurisdictions. The scope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interpretation of the laws and regulations that are or may be applicable to us are often uncertain and may conflict. Additional laws in these and other areas affecting our business are likely to be enacted in the future, which could limit or require changes to the ways in which we conduct our business and could both increase our compliance costs and decrease our revenues.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become liable under additional laws or regulations, or we are not able to comply with these additional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games are based upon traditional casino games, such as slots and poker. We believe that our games and game features do not constitute gambling and are intended for entertainment purposes only. Our games do not offer an opportunity to win real money within the game. However, there is significant opposition in some jurisdictions to social gaming, including social casino-themed gaming, and some jurisdictions have expressed concern that social casino-themed games, in particular, present significant risks of encouraging gambling behavior especially with respect to children and people who already have gambling problems. Anti-gaming groups in several states and countries have specifically targeted social casino-themed games, which could lead these jurisdictions to adopt legislation or impose a regulatory framework to govern social gaming or social casino-themed gaming specifically. In certain jurisdictions such as Australia, regulators have adopted, or are in the process of adopting, content classification and access requirements applicable to games that include ‘simulated gambling’ features. These types of opposition efforts could lead to a prohibition on social gaming or social casino-themed gaming altogether, restrict our ability to advertise our games or substantially increase our costs to comply with regulations, all of which could have an adverse effect on our results of operations, cash flows and financial condition. We cannot predict the likelihood, timing, scope or terms of any such legislation or regulation or the extent to which they may affect our business.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third-party platforms through which we distribute our games may be influenced by legal or regulatory developments to amend their policies or adopt new policies which could result in the removal or restriction of certain of our games from their platforms. In 2020 and 2021, plaintiffs in several U.S. states sued Apple, Google and Meta Platform (Facebook), alleging that the platforms violated state gambling laws by allowing the plaintiffs to download and play social-themed casino games, including certain of our games. These lawsuits have proceeded in various stages, with some remaining pending. We cannot predict the outcome of these lawsuits and these lawsuits, or similar suits in the future, could cause Google, Apple, Facebook, or other third-party platform providers to deny certain of our games access to their platforms or the platforms could seek to pass on liability, including defense costs, for these suits to us under the indemnity provisions in our agreements with such platforms, which could have a material adverse effect on our business. In December 2023, the Company was informed that Google was beginning to enforce an existing Play Store policy banning simulated gambling apps in thirteen countries across the Middle East and Asia: Algeria, Iran, Jordan, Libya, Oman, Palestine, Qatar, Saudi Arabia, South Korea, Syria, Tunisia, the United Arab Emirates and Yemen. As a result, Google blocked Slotomania and Caesars Slots in December 2023 and World Series of Poker in January 2024 from these countries. Similarly, in January 2024, Indonesia’s Ministry of Communication and Information Technology reported that it had conducted a broad sweep of online gambling content on the Google and Apple platforms including non-gambling games that contained gambling-related elements. Shortly thereafter, Slotomania was blocked from the Google Play Store in Indonesia, although it has since been reinstated. We were also notified in December 2024 by a third party platform that it would be challenging the offering of social casino-themed games on its platform in the State of Washington. Although we have not experienced a material impact on our business, financial condition or results of operations due to limited revenues we currently have on the affected platform or in the affected jurisdictions, if our platform providers, particularly the iOS App Store, Facebook, of Google Play Store, take these actions in jurisdictions that are significant to our operations, it would be harmful to our business.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U.S. Court of Appeals for the Ninth Circuit decided that a social casino-themed game produced by one of our competitors should be considered illegal gambling under Washington state law. Similar lawsuits were filed against other defendants, including us. In April 2018, a putative class action lawsuit was filed against us in federal district court in Washington, alleging substantially the same causes of action against our social casino-themed games. In August 2020, we entered into a settlement agreement to settle this matter, which was approved by the court in February 2021. High Five Games, a social casino-themed game company that was also sued in federal district court for substantially the same causes of action, opted to continue litigation rather than settle following the Ninth Circuit’s ruling. After several years of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proceedings, in September 2024, a court ruled that two of High Five Games’ slot-themed games constituted illegal gambling under Washington law. As a result, the company was ordered to pay $24.9 million in February 2025. In January 2025, the Washington State Gambling Commission (WSGC) issued a public memo referencing both the Ninth Circuit ruling and the High Five Games case. The memo warned that games of chance involving virtual currency are likely to be classified as illegal gambling under Washington law. It also encouraged companies offering virtual casino-style games to Washington residents to review their games and ensure compliance with state gambling regulations. In addition, on June 24, 2025, we received a letter from the Attorney General of the State of Washington alleging that certain of our games violate state gambling and consumer protection laws and requesting monetary penalties and that those games not be made available in Washington in the future. The Attorney General initiated a lawsuit on February 3, 2026, against the Company and other unrelated companies offering social casino-themed games asserting those same allegations.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More broadly, claims and regulatory attention in this area have increasingly focused on game mechanics involving virtual currency and chance-based outcomes, including in genres beyond traditional social casino-style games. In August 2024, a class action lawsuit was filed in the state of Washington against Dream Games, the developer of the mobile game "Royal Match" alleging that their game violates Washington State gambling laws and consumer protection laws. The case is currently proceeding in court. In December 2025, a similar class action complaint was filed in the State of Washington against SuperPlay Ltd. alleging that </w:t>
      </w:r>
      <w:r>
        <w:rPr>
          <w:rFonts w:ascii="Times New Roman" w:cs="Times New Roman" w:eastAsia="Times New Roman" w:hAnsi="Times New Roman"/>
          <w:sz w:val="18"/>
          <w:szCs w:val="18"/>
          <w:i w:val="1"/>
          <w:iCs w:val="1"/>
          <w:color w:val="auto"/>
        </w:rPr>
        <w:t>Dice Dreams</w:t>
      </w:r>
      <w:r>
        <w:rPr>
          <w:rFonts w:ascii="Times New Roman" w:cs="Times New Roman" w:eastAsia="Times New Roman" w:hAnsi="Times New Roman"/>
          <w:sz w:val="18"/>
          <w:szCs w:val="18"/>
          <w:color w:val="auto"/>
        </w:rPr>
        <w:t>, a “Luck Battle” game, violates Washington State gambling laws and consumer protection laws. We monitor these developments and may be required to adjust game features, disclosures, distribution, or availability in certain jurisdictions to address evolving interpretations and enforcement priorities.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legal proceedings, including demands for arbitration, targeting our games and claiming violations of state, federal or foreign laws, including gambling laws, have occurred and could occur, based on the unique and particular laws of each jurisdiction, particularly as litigation and regulations continue to evolve.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widespread implementation of in-game purchases of virtual items and virtual currency in our industry has resulted in the expanded application of existing laws or regulations and has prompted calls for new laws and regulations to address the perceived problems with these virtual items and currency. Calls for legislation have been fueled by complaints from parents whose children have incurred sizeable charges online purchasing virtual currency, “lives” or “power-ups” in order to continue to play or further advance in games advertised as being “free to play.” For example, in December 2022, Epic Games and the U.S. Federal Trade Commission (the “FTC”), announced a settlement, in which, among other things, Epic Games agreed to pay $245 million to the FTC relating to in-game purchases in Epic Game’s popular Fortnite game. These developments may affect how we advertise, operate, and earn revenues in games with these features.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has been an increasing focus on a mechanic widely used in the games industry know as ‘paid loot boxes’ (and sometime also ‘loot crates’ or ‘mystery prizes’). A paid loot box is a mechanic that provides a player with random in-game virtual items in exchange for real-world money or in-game virtual currency which itself has been purchased by real-world money. In most countries, it is now clear that loot boxes do not constitute gambling, because the items provided to a player have no real-world value. This position was recently validated by the Austrian Supreme Court, which overturned a February 2023 regional court ruling that had previously classified certain loot box mechanics as illegal gambling. In any event, the use of paid loot boxes can result in an increasing burden of regulatory compliance and operation restrictions as a result of consumer and advertising laws and regulations, the requirements of platform owners (such as Apple and Google), and the introduction of industry standards and practices, such as the Game Industry Promotion Act in South Korea and California A.B. 2426, or the guiding principles published by the UK government in 2023 (the UK Principles). Although the UK Principles are currently only expressed as a set of industry guidelines, if the industry does not implement them, it is possible that legislation will be adopted to enforce these or similar guidelines. It is also possible that the EU, as part of its fitness check of EU consumer laws, and other parts of the world adopt similar guidelines or legislation, and developments of this kind could further restrict our business or negatively affect our revenues.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additional information, please see the sections titled “</w:t>
      </w:r>
      <w:r>
        <w:rPr>
          <w:rFonts w:ascii="Times New Roman" w:cs="Times New Roman" w:eastAsia="Times New Roman" w:hAnsi="Times New Roman"/>
          <w:sz w:val="18"/>
          <w:szCs w:val="18"/>
          <w:i w:val="1"/>
          <w:iCs w:val="1"/>
          <w:color w:val="auto"/>
        </w:rPr>
        <w:t>Risk Factors—Risks Related to Our Business—Changes to digital platforms’ rules,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those relating to “loot boxes,” or the potential adoption of regulations or legislation impacting loot boxes, could require us to make changes to some of our games’ economies or design, which could negatively impact the monetization of these games reducing our revenue</w:t>
      </w: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Risk Factors—Risks Related to Our Business—Legal or regulatory restrictions could adversely impact our business and limit the growth of our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Factors—Risks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Our Business—Legal and regulatory restrictions on the use of incentivized marketing may negatively impact our business or results of operations</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Israeli headquartered company with users around the globe. We collect, process, store, use, and share data, some of which contains personal information, in connection with operating our business. Consequently, our business is subject not only to the Israeli Protection of Privacy Law, 5741-1981 as amended (the “PPL”), and the Privacy Protection Regulations (Data Security), 5777-2017, but also to a larger number of U.S. and international laws and regulations governing data privacy and security, including with respect to the collection, processing, storage, use, transmission, sharing, and protection of personal information and other consumer data. Such laws and regulations may be inconsistent across jurisdictions or conflict with other rules. The applicability of these laws and regulations to us, and their scope and interpretation, are often uncertain.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the European Union has adopted strict data privacy and security regulations. The European Union’s General Data Protection Regulation (“GDPR”) imposes strict requirements on controllers and processors of personal data, including, for example, higher standards for obtaining consent from individuals to process their personal data, more robust disclosures to individuals and a strengthened individual data rights regime, and shortened timelines for data breach notifications. The GDPR created compliance obligations applicable to our business and some of our players,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the scope of data privacy regulations worldwide continues to evolve. New, increasingly restrictive regulations have come into force all around the world, such as in Australia, Malaysia, Saudi Arabia, India and Brazil, and others coming into force such as China and Canada. Within the United States, California was the first state to enact comprehensive data privacy legislation via the California Consumer Privacy Act (CCPA) and the California Privacy Rights Act (CPRA).</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effects of the CCPA and CPRA were significant and required, and could continue to require, us to modify our data, security, and marketing practices and policies, and to incur substantial costs and expenses in an ongoing effort to comply with these and other applicable data protection laws. The CCPA was only the beginning of a trend toward stringent state privacy legislation in the United States. States such as Colorado, Delaware, Iowa, Florida, Montana, Nebraska, New Hampshire, New Jersey, Oregon, Texas, Utah, Indiana, Kentucky, Maryland, Minnesota, Rhode Island, Tennessee and Virginia have already enacted similar legislation to the CCPA, and other states may pass similar laws that are set to go in the upcoming months and years. These laws could subject us to additional compliance costs as well as potential fines, individual claims and commercial liabilities.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most of our games do not target children under 18 as their audience, we operate in a global regulatory and enforcement environment with significant focus on protecting children online, and regulators worldwide such as the Information Commissioner’s Office in the U.K, eSafety Commissioner in Australia, and the Federal Trade Commission (FTC) in the U.S. have reinforced this priority. Jurisdictions around the world have implemented comprehensive frameworks to protect young users in digital spaces with particular emphasis on the need for age assurance, content moderation standards, a greater awareness of dark patterns targeting children, and enhanced transparency requirements. The FTC has updated the existing Children's Online Privacy Protection Act (COPPA), and several states such as Texas, Utah, Louisiana and California have enacted their own laws and codes, focusing on parental consent requirements and limiting behavioral tracking and targeted advertising to minors. Federal bills like COPPA 2.0 (enacted) and the Kids Online Safety Act (KOSA) (proposed) aim to increase protections for minors' online data. In addition to evolving laws and codes, industry standards are evolving and advancing. For example, industry codes under the Australian’s Online Safety Act 2021, which are set to go into effect in March 2026, require the implementation of age-assurance measures to prevent minors from accessing games containing “simulated gambling” features. In addition, emerging age assurance frameworks may require a transition from basic self-declaration age gates to more technically integrated age-verification or assurance systems, as well as changes to product design, disclosures, data practices and monetization features. This evolving area may add additional complexity, variation in requirements, variation in requirements across jurisdictions, restrictions and potential legal risk, require additional investment in resources for compliance programs, and impact business strategies and the availability of previously useful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a variety of other laws in the United States and other non-U.S. jurisdictions regarding data privacy, cybersecurity, and consumer protection, which are continuously evolving and developing, including, among others, the laws described above, online safety regulations such as the EU Digital Services Act, the UK Online Safety Act, and the Australia Online Safety Act, competition laws such as the EU Digital Markets Act, consumer protection laws such as the EU’s New Deal for Consumers, whistleblowing laws, such as the EU Whistleblower Directive, and artificial intelligence regulations such as the EU Artificial Intelligence Act and various U.S. state-level legislation . The scope and interpretation of the laws that are or may be applicable to us are often uncertain and may be conflicting, particularly laws outside the United States. It is also likely that as our business grows and evolves and our games are played in a greater number of countries, we will become subject to additional data privacy, cybersecurity, and consumer protection laws and regulations in additional jurisdictions. 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modify our games, or block users from a particular jurisdiction, each of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and results of operations.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the section titled “</w:t>
      </w:r>
      <w:r>
        <w:rPr>
          <w:rFonts w:ascii="Times New Roman" w:cs="Times New Roman" w:eastAsia="Times New Roman" w:hAnsi="Times New Roman"/>
          <w:sz w:val="18"/>
          <w:szCs w:val="18"/>
          <w:i w:val="1"/>
          <w:iCs w:val="1"/>
          <w:color w:val="auto"/>
        </w:rPr>
        <w:t>Risk Factors—Risks Related to Our Information Technology and Data Security—Data privacy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3,175 employees. However, in January 2026, the Company announced a workforce reduction plan and we currently expect this number to decrease by approximately 15% during the first quarter of 2026. This reduction in workforce was part of a broader adjustment to our cost structure and a reallocation of resources across our portfolio of games. This action was undertaken to better align our operating model with changing market conditions, to focus investment on our highest-potential growth opportunities, and to support long-term financial flexibility and sustainability. While we believe this realignment positions us to invest more effectively in growth titles, new game development, and strategic initiatives, it may also result in certain operational and organizational impacts, including reduced operational capacity in specific areas, slower feature development or content delivery for some titles, increased workload for remaining employees, and potential challenges to employee morale and engagement.</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our highly skilled, technically trained and creative employees with desirable skill sets, including game designers, engineers and project managers, to develop new technologies and create innovative games.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win and keep our talented employees, we devote significant resources to identifying, hiring, integrating, developing careers and retaining these employees. We are able to attract and retain top talent by creating a culture that challenges and engages our employees, offering them opportunities to learn, grow and achieve their multiple career goals and we encourage internal mobility aligned to our talents’ interests. Our managers and employees are asked to go through performance and development discussions twice a year, allowing us to identify and provide a range of tailor-made solutions to our top talent population. We offer career development services to our employees including instructor-led training, different online knowledge resources through our internal learning platform, and a leadership development program including mentoring opportunities. Further, we believe that our commitment to a culture of inclusion is integral to our goal of attracting and retaining the best talent and ultimately driving our business performance.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offer comprehensive compensation and benefits packages to our employees, including, for our U.S. employees, a 401(k) Plan, medical, dental and vision benefits, medical and dependent care flexible spending accounts, short-term and long-term disability insurance and life and accidental death disability insurance. Generally, our non-U.S. employees are eligible for welfare benefits, annual vacation leave, sick leave, convalescence pay, transportation expense reimbursement, advanced study funds, life and disability insurance and other customary or mandatory social benefits. We also offer stock-based compensation as a way to attract and retain key talent. See </w:t>
      </w:r>
      <w:r>
        <w:rPr>
          <w:rFonts w:ascii="Times New Roman" w:cs="Times New Roman" w:eastAsia="Times New Roman" w:hAnsi="Times New Roman"/>
          <w:sz w:val="18"/>
          <w:szCs w:val="18"/>
          <w:i w:val="1"/>
          <w:iCs w:val="1"/>
          <w:color w:val="auto"/>
        </w:rPr>
        <w:t>Note 14, Equity Transactions and Stock Incentive Plan,</w:t>
      </w:r>
      <w:r>
        <w:rPr>
          <w:rFonts w:ascii="Times New Roman" w:cs="Times New Roman" w:eastAsia="Times New Roman" w:hAnsi="Times New Roman"/>
          <w:sz w:val="18"/>
          <w:szCs w:val="18"/>
          <w:color w:val="auto"/>
        </w:rPr>
        <w:t xml:space="preserve">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both"/>
        <w:spacing w:after="0" w:line="284" w:lineRule="auto"/>
        <w:rPr>
          <w:sz w:val="20"/>
          <w:szCs w:val="20"/>
          <w:color w:val="auto"/>
        </w:rPr>
      </w:pPr>
      <w:r>
        <w:rPr>
          <w:rFonts w:ascii="Times New Roman" w:cs="Times New Roman" w:eastAsia="Times New Roman" w:hAnsi="Times New Roman"/>
          <w:sz w:val="18"/>
          <w:szCs w:val="18"/>
          <w:color w:val="auto"/>
        </w:rPr>
        <w:t>audited consolidated financial statements and “</w:t>
      </w:r>
      <w:r>
        <w:rPr>
          <w:rFonts w:ascii="Times New Roman" w:cs="Times New Roman" w:eastAsia="Times New Roman" w:hAnsi="Times New Roman"/>
          <w:sz w:val="18"/>
          <w:szCs w:val="18"/>
          <w:i w:val="1"/>
          <w:iCs w:val="1"/>
          <w:color w:val="auto"/>
        </w:rPr>
        <w:t>Management’s Discussion and Analysis of Financial Condition and Results of Operations—Stock-based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for further discussion of our benefit plans and stock-based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Available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HaChoshlim St 8 Herzliya Pituach, Israel and our telephone number is 972-73-316-3251. Our website address is </w:t>
      </w:r>
      <w:r>
        <w:rPr>
          <w:rFonts w:ascii="Times New Roman" w:cs="Times New Roman" w:eastAsia="Times New Roman" w:hAnsi="Times New Roman"/>
          <w:sz w:val="18"/>
          <w:szCs w:val="18"/>
          <w:i w:val="1"/>
          <w:iCs w:val="1"/>
          <w:color w:val="auto"/>
        </w:rPr>
        <w:t>www.playtika.com</w:t>
      </w:r>
      <w:r>
        <w:rPr>
          <w:rFonts w:ascii="Times New Roman" w:cs="Times New Roman" w:eastAsia="Times New Roman" w:hAnsi="Times New Roman"/>
          <w:sz w:val="18"/>
          <w:szCs w:val="18"/>
          <w:color w:val="auto"/>
        </w:rPr>
        <w:t>. Through a link on the Investors section of our website, we make the following filings available free of charge and as soon as reasonably practicable after they are electronically filed or furnished with the SEC: our Annual Reports on Form 10-K, our Quarterly Reports on Form 10-Q, our Current Reports on Form 8-K and any amendments to such reports filed or furnished pursuant to Section 13(a) or 15(d) of the Exchange Act, and the rules and regulations promulgated thereunder. The information contained on, or that can be accessed through, our website is not incorporated by reference into, and is not a part of, this filing.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filings are also available free of charge on the SEC’s website at www.sec.gov.</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any of which could subsequently have an adverse effect on the trading price of our common stock,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Additional risks not currently known to us or that we currently deem to be immaterial also may materially adversely affect our business, financial condition and results of operations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more fully described below that relate to our business include, but are not limited to, the following important risks:</w:t>
      </w:r>
    </w:p>
    <w:p>
      <w:pPr>
        <w:spacing w:after="0" w:line="25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our majority shareholder or other third parties that influence us;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platforms, such as the iOS App Store, Facebook, and Google Play Store, to distribute our games and collect revenues, and such platforms may adversely change their policies;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games generate a majority of our revenues;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percentage of total users generate a majority of our revenues;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free-to-play business model, and the value of virtual items sold in our games, is highly dependent on how we manage the game revenues and pricing models;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make acquisitions and/or integrate acquired businesses successfully could limit our growth or disrupt our plans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industry with low barriers to entry;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players, attract new players and increase the monetization of our player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develop new games;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games may not be successful after launch;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are subject to obligations and restrictive covenants under our debt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refinance our indebtedness or to obtain additional financing on favorable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Yuzhu Shi, whose economic and other interests in our business may differ from yours;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restrictions or proceedings could adversely impact our business and limit the growth of our operations;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economic recession or periods of increased inflation, and any reductions to household spending on the types of discretionary entertainment we offer;</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ownership, including our significant operations in Israel, Ukraine and Poland and the fact that our controlling stockholder is a Chinese-owned company;</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other disruptions could compromise our information or the information of our players and expose us to liability;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intellectual property and proprietary information could adversely impact our business.</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18" w:name="page19"/>
    <w:bookmarkEnd w:id="1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platforms, such as the iOS App Store and Google Play Store, to distribute our games and collect revenues generated on such platforms and rely on third-party payment service providers to collect revenues generated on our own platforms.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games are primarily accessed and operated through platforms operated by Apple and Google. A significant number of the virtual items that we sell to paying players are purchased using the payment processing systems of these platforms and, for the year ended December 31, 2025, 66.3% of our revenues were generated through transactions processed by the billing systems of iOS App Store and Google Play Store. In certain jurisdictions where permitted and subject to applicable platform rules, we also offer alternative payment methods that allow players to complete purchases without using the platform’s payment systems while continuing to access and play our games on these third-party platforms. For the year ended December 31, 2025, approximately 34% of instances in which our players on Apple and Google platforms were presented, where permitted, with a pop-up offering an alternative payment option resulted in the selection of an alternative payment processor. While we continue to expand our Direct-to-Consumer capabilities, substantially all gameplay, including gameplay associated with purchases completed through alternative payment methods, continues to occur on these platforms, and our ability to offer, present, and transact through such channels remains subject to these platforms’ rules, technical requirements, and enforcement practices, which may change or be applied inconsistently over time. Consequently, our expansion and prospects depend on our continued relationships with these providers, and any other emerging platform providers that are widely adopted by our target players. We are subject to the standard terms and conditions that these platform providers have for application developers, which govern the content, promotion, distribution, operation of games and other applications on their platforms, as well as the terms of the payment processing services provided by the platforms, and which the platform providers can change unilaterally on short or without notice. Our business would be harmed if:</w:t>
      </w:r>
    </w:p>
    <w:p>
      <w:pPr>
        <w:spacing w:after="0" w:line="22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providers discontinue or limit our access to their platforms;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private parties, such as internet providers, impose bandwidth restrictions or increase charges or restrict or prohibit access to those platforms;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introduce new fees or increase the fees they charge us, including in connection with our Direct-to-Consumer initiatives or other alternative billing programs;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modify their algorithms, communication channels available to developers, respective terms of service or other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decline in popularity;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elect or are required to change how they label free-to-play games or take payment for in-game 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block or limit access to the genres of games that we provide in any jurisdiction;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impose restrictions or spending caps or make it more difficult for players to make in-game purchases of virtual items;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platforms change how the personal information of players is made available to developers or develop or expand their own competitive offerings and/or practices; or</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comply with the platform providers’ terms of service.</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our platform providers do not perform their obligations in accordance with our platform agreements, we could be adversely impacted. For example, in the past, some of these platform providers have been unavailable for short periods of time, unexpectedly changed their terms or conditions, or experienced issues with their features that permit our players to purchase virtual items. Additionally, we rely on third-party online payment service providers to process any payments generated on games accessed and operated on our own Direct-to-Consumer platforms. If any of these third-party service providers is unable to process payments, even for a short period of time, our business would be harmed. These platforms and our third-party online payment service providers may also experience security breaches or other issues with their functionalities. In addition, if we do not adhere to the terms and conditions of our platform providers, the platform providers may take actions to limit the operations of, suspend or remove our games from the platform, and/or we may be exposed to liability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jurisdictions in which we operate and their regulatory bodies adopt or modify laws and regulations, our platform providers may adopt restrictive policies or take other adverse action against the Company and its games in connection with their interpretation and implementation of such laws and regulations. Over the years, certain of our social casino-themed games have been blocked on various platforms in various jurisdictions. For example, we were notified in December 2024 by a third-party platform that it would be challenging the offering of social casino-themed games on its platform in the State of Washington. As a result, we elected to pull our games off of this platform altogether. While we were only offering certain poker-themed titles through this platform and did not suffer a material impact to our overall revenues from this action, our business and operating results could be materially impaired if other platforms that are more significant to our business take similar actions in the State of Washington or in other jurisdictions. Although we are taking steps to oppose and try to reverse these types of actions and have not experienced a material impact on our business, financial condition or results of operations due to limited revenues we currently have on the affected platforms or in the affected jurisdictions, if our platform providers, particularly the iOS App Store, Facebook, or Google Play Store, take these types of actions in jurisdictions that are significant to our operations, it would be harmful to our business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certain requirements related to content classification, age-rating and age-assurance, imposed by major third-party platforms, reflect how platforms are responding to evolving children’s protection and online safety regulations globally. Such requirements may affect how our games are classified, distributed or presented on these platforms. See “</w:t>
      </w:r>
      <w:r>
        <w:rPr>
          <w:rFonts w:ascii="Times New Roman" w:cs="Times New Roman" w:eastAsia="Times New Roman" w:hAnsi="Times New Roman"/>
          <w:sz w:val="18"/>
          <w:szCs w:val="18"/>
          <w:i w:val="1"/>
          <w:iCs w:val="1"/>
          <w:color w:val="auto"/>
        </w:rPr>
        <w:t>Risk Factors— Data privacy and security laws and regulations in the jurisdictions in which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r>
        <w:rPr>
          <w:rFonts w:ascii="Times New Roman" w:cs="Times New Roman" w:eastAsia="Times New Roman" w:hAnsi="Times New Roman"/>
          <w:sz w:val="18"/>
          <w:szCs w:val="18"/>
          <w:color w:val="auto"/>
        </w:rPr>
        <w:t>”, for more information.</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could have a material adverse effect on our brands and reputation, as well as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limited number of games have generated a majority of our revenues, and we may be unable to offset any declines in revenues from our top games.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business is dependent on the success of a limited number of games and on our ability to consistently enhance and improve upon games that achieve significant popularity. Historically, we have depended on such games for a majority of our revenues and we expect that this dependency will continue for the foreseeable future. For example, in each of the years ended December 31, 2025 and 2024, our top game by revenue, </w:t>
      </w:r>
      <w:r>
        <w:rPr>
          <w:rFonts w:ascii="Times New Roman" w:cs="Times New Roman" w:eastAsia="Times New Roman" w:hAnsi="Times New Roman"/>
          <w:sz w:val="18"/>
          <w:szCs w:val="18"/>
          <w:i w:val="1"/>
          <w:iCs w:val="1"/>
          <w:color w:val="auto"/>
        </w:rPr>
        <w:t>Bingo Blitz,</w:t>
      </w:r>
      <w:r>
        <w:rPr>
          <w:rFonts w:ascii="Times New Roman" w:cs="Times New Roman" w:eastAsia="Times New Roman" w:hAnsi="Times New Roman"/>
          <w:sz w:val="18"/>
          <w:szCs w:val="18"/>
          <w:color w:val="auto"/>
        </w:rPr>
        <w:t xml:space="preserve"> generated approximately 23% and 25% of our revenues for each period. For a game to remain popular and to retain players, we must effectively enhance, expand and upgrade the game with new features, offers, and content that players find attractive. We may not be successful in these efforts, including not providing enough new features, offers and content or providing too many new features, offers and content. Each of our games requires significant product development, marketing and other resources to develop, launch and sustain popularity through regular upgrades, expansions and new content, and such costs on average have increased over time. Even with these investments, we may experience sudden declines in the popularity of any of our games and fluctuations in the number of daily average users and monthly average users particularly for games that are later in their life cycle. For example, revenues generated by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have been in decline in recent years, declining by approximately 35.7% in 2025 and 9.5% in 2024. A continued decline in </w:t>
      </w:r>
      <w:r>
        <w:rPr>
          <w:rFonts w:ascii="Times New Roman" w:cs="Times New Roman" w:eastAsia="Times New Roman" w:hAnsi="Times New Roman"/>
          <w:sz w:val="18"/>
          <w:szCs w:val="18"/>
          <w:i w:val="1"/>
          <w:iCs w:val="1"/>
          <w:color w:val="auto"/>
        </w:rPr>
        <w:t xml:space="preserve">Slotomania </w:t>
      </w:r>
      <w:r>
        <w:rPr>
          <w:rFonts w:ascii="Times New Roman" w:cs="Times New Roman" w:eastAsia="Times New Roman" w:hAnsi="Times New Roman"/>
          <w:sz w:val="18"/>
          <w:szCs w:val="18"/>
          <w:color w:val="auto"/>
        </w:rPr>
        <w:t>or a similar decline in any of our other top games would negatively impact our results of operations.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fail to attract and retain a significant number of new and existing players to our games or if we experience a reduction in the number of players of our most popular games or any other adverse developments relating to our most popular games occur, our market share and reputation could be harmed and there could be a material adverse effect on our business, financial condition and results of operations. Although our average daily active users across our portfolio increased by approximately 4.9% in 2025 largely due to our newly acquired SuperPlay studio, our average daily active users across our portfolio excluding SuperPlay have experienced declines in recent years and our average daily active users (excluding SuperPlay) declined by approximately 19.7% in 2025. While the Company endeavors to attract and retain new and existing players, including by way of acquiring new titles and studios, we cannot assure that these efforts will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Shifts in the revenue mix between our games may adversely affect our margin profile.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social casino-themed games have generally generated higher margins than the majority of our casual games, primarily due to the higher utilization of our Direct-to-Consumer platforms among social casino-themed game users compared to our casual game users, and lower relative marketing spend for these titles. In addition, our recent casual game acquisitions, most notably SuperPlay Ltd., are earlier stage studios where the strategic focus is on revenue growth over profitability.</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revenues from our social casino-themed games such as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have either declined or failed to keep pace with revenues from our existing and newly acquired casual games, our Adjusted EBITDA margin and net income margin have declined. Our Adjusted EBITDA margin declined from 29.7% in 2024 to 27.3% in 2025 and our net income margin declined from 6.4% in 2024 to (7.5)% in 2025. If our revenue mix continues to shift toward casual games and we are unable to mitigate the discrepancy in margin profiles, our Adjusted EBITDA margin and net income margin could continue to decline.</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strategy includes acquiring early-stage companies that may be primarily focused on revenue growth rather than profitability. These early-stage acquisitions, while potentially offering long-term growth opportunities, often contribute at least initially to lower margins with high levels of marketing and other operational costs relative to their revenues. Continued investment in early-stage companies may compound the downward pressure on our margin profile if our revenue mix continues to trend toward casual games.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small percentage of total users have generated a majority of our revenues, and we may be unable to attract new paying or retain existing paying users and maintain their spending levels.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of free-to-play games typically rely on a small percentage of players who spend moderate or large amounts of money in games to receive special advantages, levels, access and other features, offers, or content. The vast majority of users play for free or only occasionally spend money in games. As a result, compared to all users who play our games in any period, only a small percentage of such users were paying users. For example, for the year ended December 31, 2025, our average Daily Payer Conversion was 4.4%. In addition, a large percentage of our revenues comes from a small subset of these paying users. Because many users do not generate revenues, and each paying user does not generate an equal amount of revenues, it is particularly important for us to retain the small percentage of paying users and to maintain or increase their spending levels. There can be no assurance that we will be able to continue to retain paying users or that paying users will maintain or increase their spending. It is possible that we could lose more paying users than we gain in the future, which would cause a decrease in the monetization of our games and could have a material adverse effect on our business, financial condition and results of operations.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invest in new user acquisition and on monetization strategies to convert users to paying users, retain our existing paying users and maintain or increase the spending levels of our paying users. As competition for user attention and acquisition intensifies and privacy rules impacting these activities continue to evolve, the effectiveness of our user acquisition activities may go down, and the cost of those activities may increase. If our investments on new user acquisition and monetization strategies do not produce the desired results, we may fail to attract, retain or monetize users and may experience a decrease in spending levels of existing paying users, any of which would result in lower revenues for our games and could have a material adverse effect on our business, financial condition and results of operations.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key factors in attracting and retaining paying users include our ability to enhance existing games and game experiences in ways which are specifically appealing to paying users. These abilities are subject to various uncertainties, including but not limited to:</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an enhanced experience for paying users without adversely affecting the gameplay experience for non-paying users;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anticipate and respond to changing user interests and preferences generally and to changes in the gaming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effective amounts of new content to our players;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against a large and growing number of industry participants with essentially no barriers to entry;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integrate and retain skilled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penetration in, and enter into new, demographic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 positive return on our user acquisition and other marketing investments and to drive organic growth;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minimize and quickly resolve bugs or outages.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users also depend on our customer support organization to answer questions relating to our games. Our ability to provide high-quality effective customer support is largely dependent on our ability to attract, resource, and retain employees who are not only qualified to support our users, but are also well versed in our games. This ability can be strained after any significant reductions in the Company’s workforce such as the significant reduction in workforce that was announced in January 2026. Any failure to maintain high-quality customer support, or a market perception that we do not maintain high-quality customer support, could harm our reputation and adversely affect our ability to sell virtual items within our games to existing and prospective users.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attract and retain users, especially paying users, it would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utilize a free-to-play business model, which depends on players making optional in-game purchases, and the value of the virtual items sold in our games is highly dependent on how we manage the game revenues and pricing models.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games are available to players for free, and we generate nearly all of our revenues from the sale of virtual items when players make voluntary in-game purchases. For example, for the years ended December 31, 2025 and 2024, we derived 97.7% and 98.4%, respectively, of our revenues from in-game purchases.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Paying users usually spend money in our games because of the perceived value of the virtual items that we offer for purchase. The perceived value of these virtual items can be impacted by various actions that we take in the games, such as offering discounts, giving away virtual items in promotions or providing easier non-paid means to secure such virtual items. Managing the game economies can be challenging with certain games containing multiple types of in-game virtual currency and overlapping promotional campaigns or other discounts in effect at the same time. Recently,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has experienced pervasive game economy issues which led to several quarters of outsized sequential decline. If we fail to manage our game economies properly, players may be less likely to spend money in the games, which could have a material adverse effect on our business, financial condition and results of operations.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Unrelated third parties have developed, and may continue to develop, “cheats” or guides that enable players to advance in our games or result in other types of malfunction, which could reduce the demand for in-game virtual items. In particular, for our games where players play against each other, such as our World Series of Poker game, there is a higher risk that these “cheats” will enable players to obtain unfair advantages over those players who play fairly, and harm the experience of those players. Additionally, these unrelated third parties may attempt to scam our players with fake offers for virtual items or other game benefits. We have also seen unauthorized third-party apps that serve as cheat guides for games such as </w:t>
      </w:r>
      <w:r>
        <w:rPr>
          <w:rFonts w:ascii="Times New Roman" w:cs="Times New Roman" w:eastAsia="Times New Roman" w:hAnsi="Times New Roman"/>
          <w:sz w:val="18"/>
          <w:szCs w:val="18"/>
          <w:i w:val="1"/>
          <w:iCs w:val="1"/>
          <w:color w:val="auto"/>
        </w:rPr>
        <w:t>Bingo Blitz</w:t>
      </w:r>
      <w:r>
        <w:rPr>
          <w:rFonts w:ascii="Times New Roman" w:cs="Times New Roman" w:eastAsia="Times New Roman" w:hAnsi="Times New Roman"/>
          <w:sz w:val="18"/>
          <w:szCs w:val="18"/>
          <w:color w:val="auto"/>
        </w:rPr>
        <w:t xml:space="preserve"> which may be used by players to compromise or impair our game economies. These scams may harm the experience of our players, disrupt the economies of our games and reduce the demand for our virtual items, which may result in increased costs to combat such programs and scams, a loss of revenues from the sale of virtual items and a loss of players. As a result, players may have a negative gaming experience and be less likely to spend money in the games, which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make acquisitions or integrate acquired businesses successfully could limit our growth or disrupt our plans and operations.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Historically, a significant portion of our growth has been as a result of our acquisition of complementary studios and games, rather than in-house development, including our acquisition of Wooga GmbH, or Wooga, in 2018, Supertreat GmbH, or Supertreat, in 2019, Seriously Holding Corp., or Seriously, in 2019, Reworks Oy, or Reworks, in 2021, JustPlay.LOL, or JustPlay, in 2022, the Youda Games’ card game portfolio in 2023, G.S InnPlay Labs Ltd. in 2023, and our largest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to date, SuperPlay Ltd. in 2024. While are currently focused on ensuring the successful integration and growth of SuperPlay, Ltd. and have recently shifted our strategy toward in-house development of games, acquisitions have been an important source of growth in the Company’s history. Should we look to prioritize acquisitions as a growth strategy in the future, we cannot assure you that acquisition opportunities will be available on acceptable terms or at all, or that we will be able to obtain necessary financing or regulatory approvals to complete potential acquisitions. Our ability to make acquisitions and successfully integrate acquired businesses depends upon our ability to identify, negotiate, complete and integrate suitable target businesses, technologies and products and to obtain any necessary financing, and is subject to numerous risks, including:</w:t>
      </w:r>
    </w:p>
    <w:p>
      <w:pPr>
        <w:spacing w:after="0" w:line="21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acquisition, investment or other strategic alliance opportunities that we deem suitable or available on favorable terms;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acquired businesses, technologies or products, including issues maintaining uniform standards, procedures, controls and policies;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efforts to expand and unanticipated challenges in entering into new categories of games and applications, including design entertainment and home design;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properly valuing prospective acquisitions, particularly those with limited operating histories;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fully identify potential risks and liabilities associated with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investments or strategic alliances;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overall margins, particularly with respect to acquisitions of earlier stage companies where the strategic focus is on growth over profitability;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day-to-day operations of our existing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expected cost synergies associated with acquisitions may not be fully realized in the anticipated amounts or within the contemplated timeframes, which could result in increased costs and have an adverse effect on our prospects, results of operations, cash flows and financial condition. Acquisition transactions may also disrupt our ongoing business, as the integration of acquisitions would require significant time and focus from management and might delay the achievement of our strategic objectives. We have utilized earnouts in acquisition transactions in the past and may do so in future transactions. The use of earnouts and the structure and timing of the associated targets and milestones may result in large fluctuations in our sales and marketing expenses from quarter to quarter. While we employ several different methodologies to assess potential business opportunities, the businesses we have acquired or may acquire may not meet or exceed our expectations. For example, SuperPlay Ltd., had a history of incurring net losses as an early stage company when we acquired the studio in 2024, with net losses of $114 million in 2024. If revenue growth at SuperPlay Ltd. does not increase in future periods enough to offset costs, including marketing expenses, our results of operations will be harmed.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with low barriers to entry, and our success depends on our ability to effectively compete.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mobile gaming industry is a rapidly evolving industry with low barriers to entry, and we expect more companies to enter the industry and a wider range of competing games to be introduced. As a result, we are dependent on our ability to successfully compete against a large and growing number of industry participants. Many of our current and potential competitors enjoy substantial competitive advantages, such as greater name recognition, longer operating histories, greater financial, technical and other resources. In particular, certain competitors of our slot-themed games also provide real money gambling offerings which may give them an advantage in recognizable slot content. Internationally, local competitors may have greater brand recognition than us in their local country and a stronger understanding of local culture and commerce. They may also offer their products and services in local languages we do not offer. In addition, the market for our games is characterized by rapid technological developments, including the increasing use of AI-driven tools in game development, content creation and performance marketing, frequent launches of new games and enhancements to current games, changes in player needs and behavior, disruption by innovative entrants and evolving business models and industry standards. As a result, our industry is constantly changing games and business models in order to adopt and optimize new technologies, increase cost efficiency and adapt to player preferences. Our competitors may adapt to an emerging technology or business model more quickly or effectively, developing products and games or business models that are technologically superior to ours, more appealing to consumers, or both. The emergence of “sweepstake casino” games which mimic slot and bingo-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themed games but incorporate sweepstakes as a primary user acquisition and monetization tool in the game could pose a competitive threat to our slot and bingo-themed games and harm our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 new competitors could have significant resources for developing, enhancing or acquiring games and gaming companies, and may also be able to incorporate their own strong brands and assets into their games or distribution of their games. We also face competition from a vast number of small companies and individuals who may be successful in creating and launching games and other content for these devices and platforms using relatively limited resources and with relatively limited start-up time or expertise. New game developers enter the gaming market continuously, some of which experience significant success in a short period of time. A significant number of new titles are introduced each day.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obtaining and maintaining high ratings of our games on the platforms on which we operate are important as they help drive users to find our games. If the ratings of any of our games decline or if we receive significant negative reviews that result in a decrease in our ratings, our games could be more difficult for players to find or recommend. In addition, we may be subject to negative review campaigns or defamation campaigns intended to harm our ratings. Any such decline may lead to loss of users and revenues, additional advertising and marketing costs, and reputation harm.</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if our platform providers were to develop competitive offerings, either on their own or in cooperation with one or more competitors, our growth prospects could be negatively impacted. For example, Apple developed its own video game subscription service, Apple Arcade, which may compete further with our games. Netflix, which continues to strengthen its presence in the gaming market, has expanded its offerings by including a growing library of mobile games as part of its subscription service. With its expansive customer base and vast resources, Netflix could pose a material competitive threat to the Company’s business. Increased competition and success of other brands, genres, business models and games could result in, among other things, a loss of players, or negatively impact our ability to acquire new players cost-effectively, which could have a material adverse effect on our business, financial condition and results of operations.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current and future competitors may also make strategic acquisitions or establish cooperative relationships among themselves or with others, including our current or future business partners or third-party software providers. By doing so, these competitors may increase their scale, their ability to meet the needs of existing or prospective players and compete for similar human resources. If we are unable to compete effectively, successfully and at a reasonable cost against our existing and future competitors, our results of operations, cash flows and financial condition would be adversely impacted.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ability to raise additional capital or to fund our operations, expose us to interest rate risk, limit our ability to react to changes in the economy, and prevent us from making debt service payments. In addition, we are subject to obligations and restrictive covenants under our debt instruments that may impair our ability to operate or with which we may not be able to maintain compliance.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highly leveraged company. In March 2021, we entered into a $1,900.0 million senior secured first lien term loan, which we refer to herein as the Term Loan. We also issued $600.0 million aggregate principal amount of our 4.250% senior notes due 2029 (our “Notes”) in a private offering pursuant to an indenture dated March 11, 2021 (the “Indenture”). As of December 31, 2025, we had $2,409.8 million aggregate principal amount of outstanding indebtedness, in addition to $550.0 million available for borrowing under a $550.0 million senior secured revolving credit facility, which we refer to herein as the Revolving Credit Facility. For the year ended December 31, 2025, we made net principal payments of $19.0 million and paid $137.2 million for interest (net of hedges). The Credit Facilities were provided pursuant to a credit agreement, which we refer to herein as the Credit Agreement, dated as of December 10, 2019 and amended from time to time, by and among us, the lenders party thereto and Bank of America (as successor in interest to UBS AG, Stamford Branch and Credit Suisse AG, Cayman Islands Branch), as administrative agent and collateral agent, and the other parties thereto, as amended.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us, including, but not limited to, the following:</w:t>
      </w:r>
    </w:p>
    <w:p>
      <w:pPr>
        <w:spacing w:after="0" w:line="252" w:lineRule="exact"/>
        <w:rPr>
          <w:sz w:val="20"/>
          <w:szCs w:val="20"/>
          <w:color w:val="auto"/>
        </w:rPr>
      </w:pPr>
    </w:p>
    <w:p>
      <w:pPr>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money for our working capital, capital expenditures, debt service requirements, acquisitions, research and development, strategic initiatives or other purposes;</w:t>
      </w: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and any failure to comply with the obligations of any of our debt instruments, including restrictive covenants, financial covenants and borrowing conditions, could result in an event of default under the agreements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left="660" w:right="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the payment of interest and the repayment of our indebtedness, thereby reducing funds available to us for other purposes;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operations or business and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are less leveraged and that, therefore, may be able to take advantage of opportunities that our leverage prevents us from exploring;</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industry and competitive conditions;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making strategic acquisitions, engaging in development activities, introducing new technologies, or exploiting business opportunities;</w:t>
      </w: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limit the amount of net interest expense that we and our subsidiaries can use in the future as a deduction against taxable income under applicable tax laws;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make non-strategic divestitures;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restrictive covenants in the agreements governing our indebtedness, among other things, our ability to borrow additional funds, make investments or dispose of assets;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repurchase shares and pay cash dividends;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Credit Agreement contains a financial covenant applicable to the Revolving Credit Facility thereunder, and our Credit Agreement and the Indenture each contain restrictive covenants that limit our ability to engage in activities that may be in our long-term best interest, including our ability to, among other things:</w:t>
      </w:r>
    </w:p>
    <w:p>
      <w:pPr>
        <w:spacing w:after="0" w:line="20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under certain circumstances;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certain liens or permit them to exist;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sale and lease-back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otherwise transfer, sell or dispose of our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repurchase stock and make other certain restricted payments;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types of transactions with affiliates.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those covenants could result in an event of default which, if not cured or waived, could result in the acceleration of substantially all of our indebtedness. In the event of such default, the lenders under our Credit Agreement could elect to terminate their commitments thereunder and cease making further loans, and both the lenders under our Credit Agreement and the trustee under the Notes could institute foreclosure proceedings against our assets, and we could be forced into bankruptcy or liquidation.</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may be able to incur substantial additional indebtedness in the future, subject to the restrictions contained in the Credit Agreement and the Indenture. If new indebtedness is added to our current debt levels, the related risks described above could intensify. Additionally, the Term Loan matures in March 2028, the Revolving Credit Facility matures in March 2027 and the Notes mature in March 2029. We cannot assure you that our business will generate sufficient cash flow from operations or that future borrowings will be available to us under our Credit Agreement or from new indebtedness in an amount sufficient to enable us to pay or refinance our indebtedness or to fund our other liquidity needs. For example, in connection with the acquisition of SuperPlay, Ltd., the Company agreed to make future earnout payments of up to $1.250 billion, in the aggregate, based on the achievement of certain gross revenue growth and SuperPlay Adjusted EBITDA targets for SuperPlay Ltd. during the calendar years 2025, 2026 and 2027, in each case, payable following the end of the applicable measurement period. Depending on the level of earnout achievement, it is possible that the Company’s cash flows and available cash will be insufficient to fund these obligations, particularly if we are unable to refinance the Revolving Credit Facility before it matures in March 2027.</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we expect that we will need to refinance all or a portion of our indebtedness on or before maturity. We may not be able to refinance any of our indebtedness at comparable interest rates, on commercially reasonable terms or at all. There may also be regulatory filing or registration requirements in China applicable to our controlling shareholder that could delay or prevent us from issuing or materially amending the terms of our indebtedness.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Yuzhu Shi controls us through his indirect interest in Playtika Holding UK II Limited and its ownership of our common stock will prevent you and other stockholders from influencing significant decisions.” </w:t>
      </w:r>
      <w:r>
        <w:rPr>
          <w:rFonts w:ascii="Times New Roman" w:cs="Times New Roman" w:eastAsia="Times New Roman" w:hAnsi="Times New Roman"/>
          <w:sz w:val="18"/>
          <w:szCs w:val="18"/>
          <w:color w:val="auto"/>
        </w:rPr>
        <w:t>If refinancing indebtedness is not available at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comparable to our existing indebtedness our interest expense could materially increase, which would have a negative impact on our results of operations. If we cannot timely refinance our indebtedness, we may have to take actions such as issuing additional equity and reducing, delaying or foregoing capital expenditures, strategic acquisitions and investments. We cannot assure you that any such actions, if necessary, could be implemented on commercially reasonable terms or at 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attract in-game advertisers depends on our ability to design an attractive advertising model that retains players.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vast majority of our revenues are generated by in-game purchases, a portion of our revenues are generated from the sale of in-game advertisements. For example, for the years ended December 31, 2025 and 2024, we derived 2.3% and 1.6% of our revenues from in-game advertising, respectively. If we are unable to attract and maintain a sufficient player base or otherwise fail to offer attractive in-game advertising models, advertisers may not be interested in purchasing such advertisements in our games, which could adversely affect our revenues from in-game advertising. Alternatively, if our advertising inventory is unavailable and the demand exceeds the supply, this limits our ability to generate further revenues from in-game advertising, particularly during peak hours and in key geographies. Further, a full inventory may divert advertisers from seeking to obtain advertising inventory from us in the future, and thus deprive us of potential future in-game advertising revenues. This could have a material adverse effect on our reputation and our business, financial condition and results of operations.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we include in-game advertising in our games that players view as excessive, such advertising may materially detract from players’ gaming experiences, thereby creating player dissatisfaction, which may cause us to lose players and revenues, and negatively affect the in-game experience for players making purchases of virtual items in our games.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to digital platforms’ rules, including those relating to “loot boxes,” or the potential adoption of regulations or legislation impacting loot boxes, could require us to make changes to some of our games’ economies or design, which could negatively impact the monetization of these games reducing our revenues.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Apple’s and Google’s terms of service require publishers of applications that include “loot boxes” to disclose the odds of receiving each type of item within each loot box to customers prior to purchase. Loot boxes are a commonly used monetization technique in free-to-play mobile games in which a player can acquire a virtual loot box, but the player does not know which virtual item(s) he or she will receive (which may be a common, rare or extremely rare item, and may be a duplicate of an item the player already has in his or her inventory) until the loot box is opened. The player will always receive one or more virtual items when he or she opens the loot box.</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Apple, Google and Facebook are defendants in class action lawsuits alleging, among other things, that social casino-themed games offered through their respective platforms constitute illegal gambling and in addition to seeking monetary damages, the plaintiffs are also seeking that the platforms remove access to the social casino-themed games. These litigations are still ongoing.</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platform providers such as Apple, Google, or Facebook change their developer terms of service to include more onerous requirements or if any of our platform providers were to prohibit the use of loot boxes in games distributed on its digital platform, we would be required to redesign the economies of the affected games in order to continue distribution on the impacted platforms, which would likely cause a decline in the revenues generated from these games and require us to incur additional costs.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are numerous ongoing academic, political and regulatory discussions in the United States, Europe, Australia, Brazil, and other jurisdictions regarding whether certain game mechanics, such as loot boxes, should be subject to a higher level or different type of regulation than other game genres or mechanics to protect consumers, in particular minors and persons susceptible to addiction, and, if so, what such regulation should include. Additionally, loot box game mechanics have in recent history been the subject of increased focus by the Federal Trade Commission, or FTC, which released a staff perspective highlighting issues raised at a public workshop on loot boxes and encouraged the industry to continue efforts to provide clear and meaningful information to consumers about in-game loot box and related microtransactions. The FTC continues to monitor developments surrounding loot boxes and may take steps to prevent what it views as unfair or deceptive practices. For example, in January 2025 the FTC announced a major enforcement action against a game developer for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of loot boxes to children and teens without verifiable parental consent. The complaint was settled with the developer having to, among other things, agree to enter into a ten-year compliance monitoring program and pay a fine of $20 million. Previously, after the United Kingdom’s Department for Digital, Culture, Media and Sport launched a call for evidence into the impact of loot boxes on in-game spending and gambling-like behavior in connection with the UK government’s review of the 2005 Gambling Act (the principal gambling regulation in the United Kingdom), the UK government issued a conclusion to the call for evidence and while it did not call for paid loot boxes to be deemed gambling, it called for companies within the industry to engage in self-regulation, including taking actions to protect children and their ability to access and purchase loot boxes. As a result, the trade body, UK Interactive Entertainment, published industry guiding principles on loot boxes which were designed to address the concerns raised by the government. Similar activity relating to loot boxes has also occurred elsewhere in the EU. For instance, the Dutch courts initially ruled FIFA loot boxes violated gambling laws, but the highest court overturned the ruling in 2022. Since 2023, the Dutch Minister of Economic Affairs has pushed for an EU-wide ban on loot boxes, reaffirming in 2024 his intent to include it in the Digital Fairness Act. The Digital Fairness Act will focus on strengthening consumer protections including in regard to the use of dark patterns with the first set of proposals under the Act expected to be released by end of 2026, although the scope and timing remain uncertain.</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other courts or regulatory agencies could adopt similarly broad definitions of prize, as has been the case in Belgium. See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Regulation</w:t>
      </w:r>
      <w:r>
        <w:rPr>
          <w:rFonts w:ascii="Times New Roman" w:cs="Times New Roman" w:eastAsia="Times New Roman" w:hAnsi="Times New Roman"/>
          <w:sz w:val="18"/>
          <w:szCs w:val="18"/>
          <w:color w:val="auto"/>
        </w:rPr>
        <w:t>.” In Australia, the Guidelines for the Classification of Computer Games 2023 limit games containing ‘simulated gambling’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to adults 18 and over, and require games that do not contain simulated gambling, but which contain loot boxes, to be rated M (Mature), meaning they are only suitable for players aged 15 and over. For legislation regarding protection of minors, see “</w:t>
      </w:r>
      <w:r>
        <w:rPr>
          <w:rFonts w:ascii="Times New Roman" w:cs="Times New Roman" w:eastAsia="Times New Roman" w:hAnsi="Times New Roman"/>
          <w:sz w:val="18"/>
          <w:szCs w:val="18"/>
          <w:i w:val="1"/>
          <w:iCs w:val="1"/>
          <w:color w:val="auto"/>
        </w:rPr>
        <w:t>Risk Factors— Risks Related to Our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and Data Security</w:t>
      </w:r>
      <w:r>
        <w:rPr>
          <w:rFonts w:ascii="Times New Roman" w:cs="Times New Roman" w:eastAsia="Times New Roman" w:hAnsi="Times New Roman"/>
          <w:sz w:val="18"/>
          <w:szCs w:val="18"/>
          <w:color w:val="auto"/>
        </w:rPr>
        <w:t>.” Data privacy and security laws and regulations in the jurisdictions in which we do business continue to increase the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operations and could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also harm our business.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of our games, certain mechanics may be deemed to be loot boxes. Various jurisdictions have established regulations regarding these mechanics. For instance, the UK Principles, and South Korea's Game Industry Promotion Act, mandate that we disclose the odds and the presence of loot boxes in our games. New regulations by the FTC, U.S. states or other international jurisdictions, which may vary significantly across jurisdictions and which we may be required to comply with, could require that these game mechanics be modified or removed from games, increase the costs of operating our games due to disclosure or other regulatory requirements, impact player engagement and monetization, or otherwise harm our business performance. It is difficult to predict how existing or new laws may be applied to these or similar game mechanics. If we become liable under these laws or regulations, we could be directly harmed, and we may be forced to implement new measures to reduce our exposure to this liability. This may require us to expend substantial resources or to modify our games, which would harm our business, financial condition and results of operations. In addition, the increased attention focused upon liability issues as a result of lawsuits and legislative proposals could harm our reputation or otherwise impact the growth of our business. Any costs incurred as a result of this potential liability could harm our business, financial condition or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regulatory restrictions could adversely impact our business and limit the growth of our operations.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opposition in some jurisdictions to social gaming, including social casino-themed games. The World Health Organization includes “gaming disorder” as an International Classification of Diseases, defining the disorder as a pattern of behavior characterized by impaired control over gaming and an increase in the priority of gaming over other interests and daily activities. Some states or countries have anti-gaming groups that specifically target social casino-themed games. Such opposition could lead these jurisdictions to adopt legislation or impose a regulatory framework to govern interactive social gaming or social casino-themed games specifically. These could result in a prohibition on interactive social gaming or social casino-themed games altogether, restrict our ability to advertise our games, or substantially increase our costs to comply with these regulations, all of which could have an adverse effect on our results of operations, cash flows and financial condition. We cannot predict the likelihood, timing, scope or terms of any such legislation or regulation or the extent to which they may affect our business. In December 2025, access to the Slotomania.com domain was blocked in Ukraine pursuant to an order issued by a national communications authority, which classified the domain among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casino-related internet resources. This restriction affected access to our direct-to-consumer website but not to platforms such as Apple or Google.</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Court of Appeals for the Ninth Circuit decided that a social casino-themed game produced by one of our competitors should be considered illegal gambling under Washington state law. Similar lawsuits and arbitration proceedings have been filed against other defendants, including us. For example, in April 2018, a putative class action lawsuit was filed in federal district court in Washington alleging substantially the same causes of action against our social casino-themed games. In August 2020, we entered into a settlement agreement to settle this matter, which was approved by the court in February 2021. In January 2025, the Washington State Gambling Commission (WSGC) issued a public memo referencing the Ninth Circuit ruling and another federal district court ruling on the subject. The memo warned that games of chance involving virtual currency are likely to be classified as illegal gambling under Washington law. It also encouraged companies offering virtual casino-style games to Washington residents to review their games and ensure compliance with state gambling regulations.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we have several pending lawsuits and arbitrations alleging that our social casino-themed games constitute illegal gambling under applicable state laws and seeking to recover amounts paid by the residents of the applicable state in connection with such games. On February 3, 2026, the Attorney General of the State of Washington initiated a similar lawsuit against the Company alleging that certain of our games violate state gambling and consumer protection laws. See “</w:t>
      </w:r>
      <w:r>
        <w:rPr>
          <w:rFonts w:ascii="Times New Roman" w:cs="Times New Roman" w:eastAsia="Times New Roman" w:hAnsi="Times New Roman"/>
          <w:sz w:val="18"/>
          <w:szCs w:val="18"/>
          <w:i w:val="1"/>
          <w:iCs w:val="1"/>
          <w:color w:val="auto"/>
        </w:rPr>
        <w:t>—Legal proceedings may materially adversely affect our business and our results of operations, cash flows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“Business—Legal Proceedings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2018, sixteen gambling regulators signed a declaration expressing concern over the blurring of lines between gambling and video game products, including social casino-themed gaming. The regulators committed to work together to analyze the characteristics of video games and social gaming, and to engage in an informed dialogue with the video game and social gaming industries to ensure the appropriate and efficient implementation of applicable laws and regulations. The regulators also indicated they would work closely with their consumer protection enforcement agencies. In 2019, the regulators presented their conclusions and encouraged national consumer protection authorities to continue to be involved in the debate over the blurring of lines between gambling and video game products, while recognizing that ultimately whether these activities trigger the implementation of gambling regulation would depend on each nation’s gambling definition. Many other similar cases have been filed in the United States related to allegations regarding legality of loot boxes and purported gambling within video games products. For example, since 2020, there have been many cases filed against social casino-themed game developers, or our third-party platform providers, alleging that social casino-themed games violate various state’s gambling laws, including cases in California, Washington, Mississippi, Alabama, Connecticut, Georgia, New York, Tennessee, Kentucky, Ohio and New Mexico.</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2024, a class action complaint was filed in the State of Washington against Dream Games, the developer of the mobile game “Royal Match”, alleging that its game violates Washington State gambling laws and consumer protection laws. Generally, in the past, illegal gambling lawsuits in the games industry have focused on certain genres such as slots, poker, bingo, and card games. The inclusion of a “Match 3” puzzle game such as “Royal Match” in these legal actions represented an expansion of these types of cases. In December 2025, a similar class action complaint was filed in the State of Washington against SuperPlay Ltd. alleging that </w:t>
      </w:r>
      <w:r>
        <w:rPr>
          <w:rFonts w:ascii="Times New Roman" w:cs="Times New Roman" w:eastAsia="Times New Roman" w:hAnsi="Times New Roman"/>
          <w:sz w:val="18"/>
          <w:szCs w:val="18"/>
          <w:i w:val="1"/>
          <w:iCs w:val="1"/>
          <w:color w:val="auto"/>
        </w:rPr>
        <w:t>Dice Dreams</w:t>
      </w:r>
      <w:r>
        <w:rPr>
          <w:rFonts w:ascii="Times New Roman" w:cs="Times New Roman" w:eastAsia="Times New Roman" w:hAnsi="Times New Roman"/>
          <w:sz w:val="18"/>
          <w:szCs w:val="18"/>
          <w:color w:val="auto"/>
        </w:rPr>
        <w:t>, a “Luck Battle” game, violates Washington State gambling laws and consumer protection laws. If the expansion of these types of cases beyond social casino-themed games and broadly into casual games continues, it could materially adversely impact our casual games and our results of operations.</w:t>
      </w:r>
    </w:p>
    <w:p>
      <w:pPr>
        <w:spacing w:after="0" w:line="21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—Legal proceedings may materially adversely affect our business and our results of operations, cash flows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the likelihood, timing, scope or terms of any actions taken by any regulatory body, nor can we predict the outcome of any litigation arising, as a result of any such 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protection concerns regarding games such as ours have been raised in the past and may again be raised in the future. These concerns include: (i) whether social casino-themed games may be shown to serve as a gateway for adolescents to real money gambling; (ii) methods to limit the ability of children to make in-game purchases, and (iii) a concern that mobile game companies are using big data and advanced technology to predict and target “vulnerable” users who may spend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time and money on mobile games in lieu of other activities. This has resulted in governmental action against another gaming company. In December 2022, Epic Games and the U.S. Federal Trade Commission, or the FTC, announced a settlement, in which Epic Games agreed to pay a $245 million to the FTC relating to in-game purchases in Epic Game’s popular Fortnite game. Such concerns could lead to increased scrutiny over the manner in which our games are designed, developed, distributed and presented.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the likelihood, timing or scope of any of these concerns reaching a level that will impact our business, or whether we would suffer any adverse impacts to our results of operations, cash flows and financial condition.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new laws and regulations, or new interpretations or applications of existing laws and regulations in a manner inconsistent with our practices, have restricted, and may continue to restrict, our games, limit our ability to pursue certain business models or AI-enabled functionalities, require us to incur substantial costs, expose us to civil or criminal liability, or cause us to change our business practices. These laws and regulations are evolving and involve matters relating to our business, including, among others, online safety regulations such as the EU Digital Services Act, requiring a yearly transparency report, the UK Online Safety Act, requiring all in scope services to complete, at least once a year, a number of risk assessments, and the Australia Online Safety Act, competition laws such as the EU Digital Markets Act, consumer protection laws such as Australia’s Guidelines for the Classification of Computer Games 2023, the EU’s New Deal for Consumers, EU’s Digital Fairness Act, advertising laws such as the UK’s CAP Code, whistleblowing laws, such as the EU Whistleblower Directive, and artificial intelligence regulations such as the EU Artificial Intelligence Act and various U.S. state-level legislation, which could result in monetary penalties and create a range of new compliance obligations.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restrictions on the use of incentivized marketing may negatively impact our business or results of operations.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the mobile games industry there has been an increase in recent years in the use of a user acquisition channel called incentivized marketing. Incentivized marketing offers generally involve third-party marketing companies promoting mobile games and offering an incentive to the players, such as gift cards or real money or in-app currency, for certain actions, such as downloading a game, completing consumer surveys or reaching certain milestones in a game. We have incorporated the use of incentivized marketing and, in 2024, this channel accounted for over fifty percent of the user acquisition activity within certain of our games. Incentivized marketing is also used heavily by our recently acquired subsidiary, SuperPlay Ltd.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use of incentivized marketing to be a legally permissible promotional activity, there are increasing legal requirements and restrictions relating to such and if the use of incentivized marketing were deemed to affect the legality of our games, we may be required to restructure our marketing activities in a manner that could impair our revenues or reduce the effectiveness of our marketing expenses. We may also be subject to enforcement actions by federal or state regulators, as well as private litigation, which could materially affect our business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may materially adversely affect our business and our results of operations, cash flows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party to, are currently party to, and in the future may become subject to additional legal proceedings in the operation of our business, including, but not limited to, with respect to consumer protection, gambling-related matters, securities laws matters, employee matters, alleged service and system malfunctions, alleged intellectual property infringement and claims relating to our contracts, licenses and strategic investments.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 Any litigation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games may be implicated in lawsuits where we are not the named defendants. For example, plaintiffs in several U.S. states have previously sued Apple and/or Google alleging that the platforms violated state gambling laws by allowing the plaintiffs to download and play social casino-themed games, including certain of our social casino-themed games. The issue continues to be litigated and these lawsuits, or similar suits in the future, could cause Google, Apple, or other third-party platform providers to deny our slot, bingo and poker themed games access to their platforms or the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could seek to pass on liability, including defense costs, for these suits to us under the indemnity provisions in our agreements with such platforms, which could have a material adverse effect on our results of operations, cash flows, or financial condition.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legal proceedings targeting our games and claiming violations of state, federal or foreign laws could occur, based on the unique and particular laws of each jurisdiction, particularly as litigation claims and regulations continue to evolve. We cannot predict the outcome of any legal proceedings to which we may be a party, any of which could have a material adverse effect on our results of operations, cash flows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geographies for a significant portion of our revenues.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players across the globe, we derive a significant portion of our revenues from a limited number of countries and are dependent on access to those markets. For example, for the year ended December 31, 2025, 63.2% of our revenues were derived from users located in the United States and 93.2% from users located in the United States, Canada, Europe and Australia. Our ability to retain paying players depends on our success in these geographies, and if we were to lose access to these markets or experience a decline in players in these geographies for any reason, it would have a material adverse effect on our business, financial condition and results of operations. For example, the pending lawsuit involving the Attorney General of the State of Washington seeks, among other things, to prevent our social casino-themed and bingo-themed games from being available to play in the State of Washington and if we are unable to successfully defend against this action we could lose access to the State of Washington for certain of our games.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climate change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Moreover, during periods of increased inflation, such as the period between 2021 and 2023 in the United States, rising costs for essentials like gasoline, home heating and cooling fuels, housing and groceries, are likely to reduce household spending on the types of discretionary entertainment we offer and may limit our ability to forecast future demand for our games. Any prolonged or significant decrease in consumer spending on entertainment activities could result in reduced play levels and decreased spending on our games, and could adversely impact our results of operations, cash flows and financial condition. The Company’s total revenues increased by 8.1% during 2025, with revenues from our social casino-themed games portfolio declining by 23.2%. In particular, total revenues from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declined by 35.7% during 2025 which we believe to have underperformed other top social casino-themed games over the same period. If the larger mobile games industry or other subsets of that industry in which we operate, such as social casino-themed games, decline or continue to decline and our revenues decline or continue to decline faster than the industry, it could have a material adverse effect on our business, financial condition and results of operations.</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and operations are vulnerable to damage or interruption from natural disasters, power losses, telecommunications failures, cyber-attacks, terrorist attacks, acts of war, human errors, break-ins and similar events.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 the past and may continue to experience disruption as a result of catastrophic events. For example, we previously maintained offices in Crimea, but were forced to close and relocate our personnel in Crimea as a result of Crimea’s annexation by Russia in 2014. In addition, we previously maintained a development center in Belarus but decided to close and relocate our personnel in Belarus due to the challenging operating environment caused by sanctions and export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that resulted from the Russian invasion of Ukraine in 2022. Additionally, our primary offices are located in Israel and we have a large office in Ukraine, and are therefore subject to a heightened risk of military and political instability. For more information on risks related to our operations in Israel,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have offices and other significant operations located in Israel, and, therefore, our results may be adversely affected by political, economic and military instability in Israel, including the ongoing war in Israel</w:t>
      </w:r>
      <w:r>
        <w:rPr>
          <w:rFonts w:ascii="Times New Roman" w:cs="Times New Roman" w:eastAsia="Times New Roman" w:hAnsi="Times New Roman"/>
          <w:sz w:val="18"/>
          <w:szCs w:val="18"/>
          <w:color w:val="auto"/>
        </w:rPr>
        <w:t>.” For more information on risks related to our operations in Ukraine, see “</w:t>
      </w:r>
      <w:r>
        <w:rPr>
          <w:rFonts w:ascii="Times New Roman" w:cs="Times New Roman" w:eastAsia="Times New Roman" w:hAnsi="Times New Roman"/>
          <w:sz w:val="18"/>
          <w:szCs w:val="18"/>
          <w:i w:val="1"/>
          <w:iCs w:val="1"/>
          <w:color w:val="auto"/>
        </w:rPr>
        <w:t>—Our operations may be adversely affected by ongoing developments in Ukraine, Georgia, Romania or Poland</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occurrence of a catastrophic event, including a global pandemic like the COVID-19 pandemic or the consequences of climate change, we may be unable to continue our operations and may endure system interruptions, reputational harm, delays in application development, lengthy interruptions in our services, breaches of data security and loss of critical data, such as player, customer and billing data as well as intellectual property rights, software versions or other relevant data regarding operations, and there can be no assurances that our insurance policies will be sufficient to compensate us for any resulting losses, which could have a material adverse effect on our business, financial condition and results of operations.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primarily rely on skilled employees with creative and technical backgrounds. The loss of one or more of our key employees, or our failure to attract and retain other highly qualified employees in the future, or any labor disputes, could significantly harm our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primarily rely on our highly skilled, technically trained and creative employees to develop new technologies and create innovative content for our games. Such employees, particularly game designers, engineers and project managers with desirable skill sets are in high demand, and we devote significant resources to identifying, hiring, training, successfully integrating and retaining these employees. We have historically hired a number of key personnel through acquisitions, and as competition with several other game companies increases, we may incur significant expenses in continuing this practice. The loss of employees or the inability to hire additional skilled employees as necessary could result in significant disruptions to our business, and the integration of replacement personnel could be time-consuming and expensive and cause additional disruptions to our business. In addition, the Company has experienced several rounds of layoffs in the recent past, highlighted by the significant reduction in workforce that was announced in January 2026, which could negatively affect its reputation and its ability to recruit new employees in the future. Any future layoffs could similarly harm the Company’s reputation and hinder its recruitment efforts. Layoffs could also result in a significant loss of institutional knowledge and operational capacity potentially harming the Company’s ability to execute against its strategic initiatives. For example, the most recently announced reduction in workforce was part of a larger adjustment to the Company’s cost structure and reallocation of resources within its portfolio of games. While the Company expects to reinvest a portion of the resulting expense reductions to advance growth initiatives, the reduction in employees is also expected to result in reductions in new feature development and promotion activity and delays in feature launches in various studios.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the continued services and performance of our key personnel, including, in particular Robert Antokol, our co-founder, Chief Executive Officer and Chairperson of our board of directors, and our other executive officers and senior management team. In particular, Mr. Antokol oversees our company and provides leadership for our growth and business strategy. Moreover, our success is highly dependent on the abilities of Mr. Antokol’s decision making process with regards to the day-to-day and ongoing needs of our business, as well as his understanding of our company as the co-founder of Playtika. Although we have entered into an employment agreement with Mr. Antokol, the agreement has no specific duration and he can terminate his employment at any time, subject to certain agreed notice periods and post-termination restrictive covenants. We do not maintain key-man insurance for Mr. Antokol or any other executive officer or member of our senior management team.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games are created, developed, enhanced and supported in our in-house game studios. The loss of key game studio personnel, including members of management as well as key engineering, game development, artists, product, marketing and sales personnel, could disrupt our current games, delay new game development or game enhancements, and decrease player retention, which could have a material adverse effect on our business, financial condition and results of operation.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 significant portion of our key roles are based in Israel. The mobile games industry in Israel is relatively small, leading to high competition for skilled professionals. We cannot guarantee we can consistently attract the necessary personnel to maintain our competitive position. In particular, we expect to face significant competition from other companies in hiring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such personnel, which may force us to seek and recruit well-qualified staff in multiple international jurisdictions. Furthermore, our competitors may lure away our existing personnel by offering them employment terms that our personnel view as more favorable. As we mature, the incentives to attract, retain and motivate our staff provided by our equity awards or by future arrangements, such as through cash bonuses, may not be as effective as in the past. In addition, disputes with employees or works council or other campaigns involving our employees could adversely affect our business. If we do not succeed in attracting, hiring and integrating excellent personnel, or retaining and motivating existing personnel, we may be unable to grow effectively.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and third-party tools and do not independently verify such metrics. Certain of our performance metrics are subject to inherent challenges in measurement, and real or perceived inaccuracies in such metrics may harm our reputation and adversely affect our business.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track certain performance metrics, including the number of active and paying players of our games using a combination of internal and third-party analytics tools, including such tools provided by Apple, Facebook and Google. Our performance metrics tools have a number of limitations (including limitations placed on third-party tools, which are subject to change unilaterally by the relevant third parties) and our methodologies for tracking these metrics or access to these metrics may change over time, which could result in unexpected changes to our metrics, including the metrics we report. If the internal or external tools we use to track these metrics undercount or over-count performance or contain technical errors, the data we report may not be accurate, and we may not be able to detect such inaccuracies, particularly with respect to third-party analytics tools. In addition, limitations or errors with respect to how we measure data (or how third parties present that data to us) may affect our understanding of certain details of our business, which could affect our long-term strategies. We also may not have access to comparable quality data for games we acquire with respect to periods before integration, which may impact our ability to rely on such data. Furthermore, such limitations or errors could cause players, analysts or business partners to view our performance metrics as unreliable or inaccurate. If our performance metrics are not accurate representations of our business, player base or traffic levels, if we discover material inaccuracies in our metrics or if the metrics we rely on to track our performance do not provide an accurate measurement of our business or otherwise change, our reputation may be harmed and our business, prospects, financial condition and results of operations could be materially and adversely affected.</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collect and use data to deliver relevant content and advertisements, and any limitation on the collection and use of this data could cause us to lose revenues.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our players use our games, we may collect both personally identifiable and non-personally identifiable data about the player. Often, we use some of this data to provide a better experience for the player by delivering relevant content and advertisements. Our players may decide not to allow us to collect some or all of this data or may limit our use of this data. Any limitation on our ability to collect data about players and game interactions would likely make it more difficult for us to deliver targeted content and advertisements to our players as well as the overall gaming experience. Interruptions, failures or defects in our data collection, analysis and storage systems, as well as privacy concerns and regulatory restrictions regarding the collection of data, could also limit our ability to aggregate and analyze player data. If that happens, we may not be able to successfully adapt to player preferences to improve and enhance our games, retain existing players and maintain the popularity of our games, which could cause our business, financial condition, or results of operations to suffer.</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Internet-connected devices and operating systems controlled by third parties increasingly contain features that allow device users to disable functionality that allows for the delivery of advertising on their devices, including through Apple’s Identifier for Advertising, or IDFA, or Google’s Advertising ID, or GAID, for Android devices.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IDFA, which simplifies the process for Apple users to opt out of behavioral targeting. If players elect to utilize the opt-out mechanisms in greater numbers, our ability to deliver effective advertisements would suffer, which could adversely affect our revenues from in-game advertising.</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with other forms of leisure activities, and a failure to successfully compete with such activities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competition for leisure time, attention and discretionary spending of our players. Other forms of entertainment, such as offline, traditional online, personal computer and console games, television, movies, sports and the internet, together represent much larger or more well-established markets and may be perceived by our players to offer greater variety, affordability, interactivity and enjoyment. Consumer tastes and preferences for leisure time activities are also subject to sudden or unpredictable change on account of new innovations, developments or product launches. If consumers do not find our games to be compelling or if other existing or new leisure time activities are perceived by our players to offer greater variety, affordability, interactivity and overall enjoyment, our business could be materially and adversely affected.</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and financial performance in prior periods may not be indicative of future performance, and our revenue growth rates may decline or our revenue may decline in the future compared to prior periods.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experienced strong growth in our first year as a public company, our growth rate moderated in 2022 and our revenue has experienced fluctuations in recent years, with total revenues increasing 8.1% year-over-year in 2025, decreasing 0.7% year-over-year in 2024 and decreasing 1.9% year-over-year in 2023. As we continue to operate and work to grow our business, our revenue growth rates may decline or our revenue may decline compared to prior fiscal years due to a number of reasons, which may include a decrease in the growth of our overall market or market saturation, slowing demand for our games, our inability to continue to acquire games or game studios, and our inability to capitalize on growth opportunities. In addition, our growth rates may experience increased volatility due to global societal and economic disruption, such as those related to global conflicts.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we do not successfully manage our future growth.</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expand the scope of the games we provide. Any future growth, particularly to the extent that we experience rapid growth, will likely place significant demands on our management and operations. Our success in managing our growth will depend, to a significant degree, on the ability of our executive officers and other members of senior management to operate effectively, and on our ability to improve and develop our financial and management information systems, controls and procedures. Further, we have grown our business in part by acquiring and integrating complementary businesses and our continued growth will depend to some degree on our continuing ability to find additional commercially viable strategic acquisitions or expanding our internal development.</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might not be able to report our financial results accurately or prevent fraud; in that case, our stockholders could lose confidence in our financial reporting, which could negatively impact the price of our stock.</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Effective internal controls are necessary for us to provide reliable financial reports and prevent fraud.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404 of the Sarbanes-Oxley Act of 2002 requires us to evaluate the report on our internal control over financial reporting. Section 404 of the Sarbanes-Oxley Act of 2002 also requires our independent registered public accounting firm to attest to our evaluation. The process of implementing our internal controls and complying with Section 404 is and will be expensive and time-consuming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discover a material weakness in our internal control, the disclosure of that fact, even if quickly remedied, could reduce the market’s confidence in our financial statements and harm our stock price. In addition, a delay in compliance with Section 404 could subject us to a variety of administrative sanctions, including ineligibility for short form resale registration, action by the SEC, the suspension or delisting of our common stock from and the inability of registered broker-dealers to make a market in our common stock, which would further reduce our stock price and could harm our business.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meet our financial obligations and support business growth, and this capital may not be available on acceptable terms or at all.</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current plans and market conditions, we believe that cash flows generated from our operations, together with the cash on our balance sheet and the borrowing capacity under our Revolving Credit Facility, will be sufficient to satisfy our anticipated cash requirements in the ordinary course of business for the foreseeable future. It is important to note, however, that our Revolving Credit Facility expires in March 2027 and, if we are unable to refinance or extend our Revolving Credit Facility, it is possible that we will not have adequate cash to make the earnout payments from the acquisition of SuperPlay Ltd., particularly if the earnout payments exceed our estimates. We also intend to continue to make significant investments to support our business growth and may require additional funds to respond to business challenges, including the need to develop new games and features or enhance our existing games, improve our operating infrastructure or acquire complementary businesses, personnel and technologies, or if we decide to return free cash flow to shareholders as we did, for example, through the $600 million self-tender in the fall of 2022, through the payment of dividends or through the repurchase of our stock. Accordingly, we may need to engage in equity or debt financings in addition to our Revolving Credit Facility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adequate insurance, and our insurance may not provide adequate levels of coverage against claims.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our general liability carrier declined to renew our policy due to cited industry concerns. Although we were able to obtain replacement coverage on comparable terms, it is possible that additional insurance carriers decide not to insure mobile games companies or significantly increase the costs for insurance to companies in our business.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tax rates or tax rulings, or the examination of our tax positions, could materially affect our financial condition, effective tax rate, future profitability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take advantage of could be undermined due to changing tax laws, both in the United States and in other applicable jurisdictions, including Israel. In addition, the taxing authorities in the United States and other jurisdictions where we do business regularly examine income and other tax returns and we are currently under exam in several jurisdictions, including the United States and Israel. We expect that tax authorities may continue to examine our income and other tax returns in the future. The ultimate outcome of these examinations cannot be predicted with certainty.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Israeli subsidiaries are eligible for certain tax benefits provided to a Preferred Technology Enterprise (PTE) or Special Preferred Technology Enterprise (SPTE) under the Israeli Law for the Encouragement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1959, or the Investment Law, including, inter alia, a reduced corporate tax rate on Israeli preferred technology taxable income, as defined in the Investment Law and its regulations. In order to remain eligible for the tax benefits under the PTE/SPTE regime, our Israeli subsidiaries must continue to meet certain conditions stipulated in the Investment Law and its regulations, as amended. If our Israeli subsidiaries were to fail to continue to meet such conditions, then our Israeli subsidiaries would not be eligible for such tax benefits and our Israeli taxable income would be subject to regular Israeli corporate tax rates. Additionally, if our Israeli subsidiaries increase their activities outside of Israel through acquisitions, their expanded activities might not be eligible for inclusion in future Israeli tax benefit programs which could increase our costs and taxes.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believes that it is reasonably possible that the total amount of tax benefits that we are not able to recognize may increase significantly as a result of the open examination in Israel for the tax years ended 2017 through 2024. Should those tax positions not be fully sustained under examination, an acceleration of material income taxes payable, including interest and penalties, could occur. As a result, cash required for payments of income taxes, interest and penalties could be material in the period in which such determination is made. In addition, if such tax positions are not fully sustained, it could have an impact on our ability to take advantage of certain tax benefits associated with the PTE/SPTE regime in the future. We are currently disputing warrants issued from the Israel Tax Authority with respect to tax years 2017-2021. See “</w:t>
      </w:r>
      <w:r>
        <w:rPr>
          <w:rFonts w:ascii="Times New Roman" w:cs="Times New Roman" w:eastAsia="Times New Roman" w:hAnsi="Times New Roman"/>
          <w:sz w:val="18"/>
          <w:szCs w:val="18"/>
          <w:i w:val="1"/>
          <w:iCs w:val="1"/>
          <w:color w:val="auto"/>
        </w:rPr>
        <w:t>Business—Legal Proceedings</w:t>
      </w:r>
      <w:r>
        <w:rPr>
          <w:rFonts w:ascii="Times New Roman" w:cs="Times New Roman" w:eastAsia="Times New Roman" w:hAnsi="Times New Roman"/>
          <w:sz w:val="18"/>
          <w:szCs w:val="18"/>
          <w:color w:val="auto"/>
        </w:rPr>
        <w:t>.” We are unable to predict the ultimate outcome of resolution of these disputes, and it is possible that they could have a material effect on our effective tax rate, financial condition, results of operations and cash flows in future periods.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2025 was (19.3)% compared with 42.2% for 2024. See “Management’s Discussion and Analysis of Financial Condition and Results of Operations—Taxes on Income.” In general, changes in applicable U.S. federal and state and foreign tax laws and regulations, or their interpretation and application, including the possibility of retroactive effect, could affect our tax expense. Taxing authorities in many jurisdictions in which we operate may propose changes to their tax laws and regulations in response to, among other things, evolving global tax landscapes. These potential changes could have a material impact on our effective tax rate, long-term tax planning and financial results.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pricing adjustments by tax authorities, potential double taxation in multiple jurisdictions and tax treaty uncertainties could materially affect our financial condition, effective tax rate, future profitability and results of operations.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gross unrecognized tax benefit liabilities and gross offsetting tax benefits in multiple jurisdictions associated with potential transfer pricing adjustments. It is possible that certain taxing authorities could examine the Company’s operating structure, including any operational shifts between jurisdictions, and the Company’s historical transfer pricing methodologies and propose an adjustment that would result in additional tax expense. While tax treaties exist between various countries that reduce the risk of double taxation, in the event of an examination targeting our transfer pricing methodologies, there is a risk that the negotiation between these respective countries’ taxing authorities does not align with the Company’s expectation, therefore resulting in more net tax expense than what is estimated.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believe that our reserves are adequate to cover reasonably expected tax risks, there can be no assurance that, in all instances, an issue raised by a tax authority will be resolved at a financial cost that does not exceed our related reserve and such resolution could have a material effect on our effective tax rate, financial condition, results of operations and cash flows in future periods.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tax reform initiatives that impose a global tax on multinational enterprises, could materially affect our financial condition, effective tax rate, long-term tax planning, future profitability and results of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several years, the Organization for Economic Co-operation and Development (“OECD”) has led the Base Erosion and Profit Shifting (“BEPS”) Project, aimed at fundamentally reforming aspects of the international corporate tax framework applicable to multinational enterprise (“MNE”) groups. In October 2021, the OECD/G20 Inclusive Framework on BEPS released an agreed statement setting out the key design elements of a two-pillar solution to address the tax challenges arising from the digitalization and globalization of the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Pillar One is intended to reallocate a portion of residual profits of the largest and most profitable MNEs—generally those with annual global revenue exceeding €20 billion and profitability above a 10% margin—to market jurisdictions, irrespective of physical presence.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Pillar Two, implemented through the Global Anti-Base Erosion (“GloBE”) Rules, introduces a global minimum effective tax rate of 15% for MNE groups with consolidated annual revenue of at least €750 million. The GloBE Rules operate primarily through the Income Inclusion Rule (“IIR”) and the Undertaxed Profits Rule (“UTPR”), which together are designed to ensure that low-taxed income is subject to a minimum level of taxation on a jurisdictional basis. In addition, jurisdictions may introduce a Qualified Domestic Minimum Top-Up Tax (“QDMTT”) to impose top-up tax locally and thereby reduce or eliminate the application of foreign IIRs or UTPRs with respect to domestic profits.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2025, various IIRs, UTPRs and QDMTTs are effective or expected to become effective in certain, but not all, of the jurisdictions in which the Company operates, including Israel, where a QDMTT was enacted with effect for fiscal years beginning on or after January 1, 2026. The Company continues to assess the potential impact of the Pillar Two framework on future reporting periods, taking into account ongoing OECD guidance, jurisdiction-specific legislative developments, and the interaction between domestic minimum taxes and foreign top-up tax rules. The ultimate impact of Pillar Two will depend on the scope, timing and manner of adoption across relevant jurisdictions. Accordingly, the Company cannot at this stage reliably predict the full effect of these developments, which may have a material impact on its corporate income tax expense and global effective tax rate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on past sales.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One or more U.S. states or countries may seek to impose incremental or new sales taxes, value added taxes or other tax collection obligations on us. While we generally are not responsible for taxes generated on games accessed and operated through third-party platforms, we are responsible for collecting and remitting applicable sales, value added or other similar taxes for revenue generated on games accessed and operated on our own platforms. Historically, we paid taxes on revenue generated from games accessed on our own platforms in U.S. states where we had a sufficient physical presence or “nexus” based on the location of our U.S. offices and servers. However, there is uncertainty as to what constitutes sufficient physical presence or nexus for a U.S. state to levy taxes, fees and surcharges for sales made over the internet. Furthermore, an increasing number of U.S. states have considered or adopted laws that attempt to impose tax collection obligations on out-of-state companies. This is also the case in respect of the European Union, where value added taxes may be imposed on non-European Union companies making digital sales to consumers within the European Union.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state of the customer.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U.S. states or local governments may adopt, or begin to enforce, laws requiring us to calculate, collect and remit taxes on sales in their jurisdictions. As a result of the above, we are continuing to work with various jurisdictions to comply with filing requirements associated with our activities that have given rise to sales, use, value added taxes and any other taxes in additional states or jurisdictions in which we historically have not registered to collect and remit taxes. A successful assertion by one or more taxing jurisdictions requiring us to collect taxes where we presently do not do so, or to collect more taxes in jurisdictions in which we currently collect some taxes, could result in substantial liabilities, including taxes on past sales, as well as interest and penalties, and could create significant administrative burdens for us or otherwise harm our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utilize, or may not be able to utilize, net operating loss carryforwards to reduce our future tax liability.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have net operating loss carryforwards in certain jurisdictions, including Israel and Finland of $258.9 million and $43.8 million, respectively. The net operating losses in Israel are carried forward indefinitely. The net operating losses in Finland expire from 2031 through 2035. We believe it is more likely than not that the benefit from certain net operating loss carryforwards will not be realized and as such, we have provided a valuation allowance on $123.8 million of net operating losses. If we are unable to utilize our net operating loss carryforwards to realize the benefit at the currently valued benefit amount it could increase our effective tax rate and cash tax payments and adversely affect our cash flows.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under the corporate governance rules of Nasdaq and, as a result, qualify for, and may rely on, exemptions from certain corporate governance requirements. If we rely on the exemptions available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“controlled company” you will not have the same protections afforded to stockholders of companies that are subject to such corporate governance requirements.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controlling stockholder, Playtika Holding UK, which is, in turn, indirectly controlled by Yuzhu Shi and his affiliates, continues to control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20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it have a compensation committee that is composed entirely of independent directors with a written charter addressing the committee’s purpose and responsibilities.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do not currently rely on the exemptions available to a “controlled company,” we may elect to rely on these exemptions in the future. As a result, our board of directors may not have a majority of independent directors, our compensation committee may not consist entirely of independent directors and/or our directors may not be nominated or selected by independent directors. Accordingly, if we elect to rely on these exemptions in the future, you will not have the same protections afforded to stockholders of companies that are subject to all of the corporate governance requirements of the Nasdaq rules.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 and Ownership</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added business, political, regulatory, operational, financial and economic risks as a result of our operations and distribution in a variety of countries, any of which could increase our costs and hinder our growth.</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operations are outside of the United States, including our principal executive offices in Israel and a large development center in Ukraine. In addition, we generate a significant portion of our revenues from operations outside of the United States. For each of the years ended December 31, 2025 and 2024, we derived approximately 36.8% and 33.3%, respectively, of our revenues from sales to players outside of the United States. Our operations in foreign jurisdictions may subject us to additional risks customarily associated with such operations, including:</w:t>
      </w:r>
    </w:p>
    <w:p>
      <w:pPr>
        <w:spacing w:after="0" w:line="20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caused by distance, language and cultural differences;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foreign laws, regulations and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enforcement of remedies in foreign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currency exchange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labor laws and disputes;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personnel in foreign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businesses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tax and regulatory policies of local governments;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anti-money laundering, anti-bribery and anti-corruption laws, including the U.S. Foreign Corrupt Practices Act, or the FCPA, and other anti-corruption laws that generally prohibit U.S. persons and companies and their agents from offering, promising, authorizing or making improper payments to foreign government officials for the purpose of obtaining or retaining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and costs related to the repatriation of funds;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sanctions regimes regarding dealings with certain persons or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export or import of technology or on our ability to operate in those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tariff restrictions;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tariffs, quotas, taxes and other market barriers;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intellectual property rights in countries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these laws also contain provisions that require accurate record keeping and further require companies to devise and maintain an adequate system of internal accounting controls. Although we have policies and controls in place that are designed to ensure compliance with these laws, if those controls are ineffective or an employee or intermediary fails to comply with the applicable regulations and policies or if the design of those policies and controls is incomplete or inadequate, we may be subject to criminal and civil sanctions and other penalties. Any such violation could disrupt our business and adversely affect our reputation, results of operations, cash flows and financial condition. In addition, as we operate and sell internationally, we are subject to the FCPA, and other laws that prohibit improper payments or offers of payments to foreign governments and their officials and political parties and other business entities for the purpose of obtaining or retaining business. While we have attempted to implement safeguards to discourage these practices by our employees, consultants and agents, violations of the FCPA may result in severe criminal or civil sanctions, and we may be subject to other liabilities, which would negatively affect our business, results of operations and financial condition.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our ability to expand successfully in foreign jurisdictions involves other risks, including difficulties in integrating foreign operations, risks associated with entering jurisdictions in which we may have little experience and the day-to-day management of a growing and increasingly geographically diverse company. We may not realize the operating efficiencies, competitive advantages or financial results that we anticipate from our investments in foreign jurisdictions. In addition, our international business operations could be interrupted and negatively affected by terrorist activity, political unrest or other economic or political uncertainties. Moreover, foreign jurisdictions could impose tariffs, quotas, trade barriers and other similar restrictions on our international sales.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while we maintain offices in the United States, most of our senior management and employees are located in our international offices, including our offices in Israel, Ukraine and Romania, which subject us to added business, political and economic risks. As of December 31, 2025, we had operations in Austria, Finland, Georgia, Germany, India, Israel, Netherlands, Poland, Romania, Spain, Switzerland, Ukraine, the United Kingdom and the United States. We have in the past and may continue to experience disruption as a result of catastrophic events in the countries in which we operate. For example, in addition to the closure of our development center in Belarus in late 2024, we previously maintained a small office in Crimea, which we were forced to close and relocate as a result of Crimea’s annexation by Russia in 2014. For more information on risks related to our operations in Israel,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have offices and other significant operations located in Israel, and, therefore, our results may be adversely affected by political, economic and military instability in Israel, including the ongoing war in Israel</w:t>
      </w:r>
      <w:r>
        <w:rPr>
          <w:rFonts w:ascii="Times New Roman" w:cs="Times New Roman" w:eastAsia="Times New Roman" w:hAnsi="Times New Roman"/>
          <w:sz w:val="18"/>
          <w:szCs w:val="18"/>
          <w:color w:val="auto"/>
        </w:rPr>
        <w:t>.” For more information on risks related to our operations in Ukraine, Georgia, Romania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Poland, see “</w:t>
      </w:r>
      <w:r>
        <w:rPr>
          <w:rFonts w:ascii="Times New Roman" w:cs="Times New Roman" w:eastAsia="Times New Roman" w:hAnsi="Times New Roman"/>
          <w:sz w:val="18"/>
          <w:szCs w:val="18"/>
          <w:i w:val="1"/>
          <w:iCs w:val="1"/>
          <w:color w:val="auto"/>
        </w:rPr>
        <w:t>—Our operations may be adversely affected by ongoing developments in Ukraine, Georgia, Romania or Poland</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offices and other significant operations located in Israel, and, therefore, our results may be adversely affected by political, economic and military instability in Israel, including the prolonged state of regional warfare.</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maintain offices in the United States, we maintain offices and conduct significant operations in Israel, and most of our senior management is based in Israel. In addition, many of our employees and officers are residents of Israel. Accordingly, political, economic and military conditions in Israel directly affect our business. Any hostilities involving Israel or the interruption or curtailment of trade between Israel and its trading partners could adversely affect our business and results of operations. Since the establishment of the State of Israel, a number of armed conflicts have taken place between Israel and its neighboring countries, as well as terrorist acts committed within Israel by hostile elements. In addition, recent political uprisings and conflicts in various countries in the Middle East are affecting the political stability of those countries. In addition, the tensions between Israel and Iran and certain extremist groups in the region may escalate in the future and turn violent, which could affect the Israeli economy in general and us in particular. Any armed conflicts, terrorist activities or political instability in the region could adversely affect business conditions, could harm our results of operations and could make it more difficult for us to raise capital. Parties with whom we do business may sometimes decline to travel to Israel during periods of heightened unrest or tension, forcing us to make alternative arrangements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 Our commercial insurance does not cover losses that may occur as a result of an event associated with the security situation in the Middle East, with limited exceptions. Although the Israeli government has in the past covered the reinstatement value of certain damages that were caused by terrorist 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or acts of war, we cannot assure you that this government coverage will be maintained or, if maintained, will be sufficient to compensate us fully for damages incurred. Any losses or damages incurred by us could cause a significant disruption in our employees’ lives and possibly put their lives at risk, which would have a material adverse effect on our business. Any armed conflicts or political instability in the region would likely negatively affect business conditions generally and could harm our results of operations. Further, in the past, the State of Israel and Israeli companies have been subjected to economic boycotts. Several countries still restrict business with the State of Israel and with Israeli companies. These restrictive laws and policies may have an adverse impact on our results of operations, financial conditions or the expansion of our business. A campaign of boycotts, divestment and sanctions has been undertaken against Israel, which could also adversely impact our business.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2023, the State of Israel was attacked by Hamas, and the State of Israel subsequently declared war on Hamas. Since that time, Israel has been engaged in a multi-front armed conflict with combatants located in Gaza, the West Bank, Syria, Iran, Lebanon and Yemen. In early 2025, Iran’s direct involvement in the regional conflict escalated dramatically, culminating in direct military exchanges and an open war with Israel. Israel and Iran agreed to a ceasefire on June 24, 2025. Israel and Hamas agreed to a temporary ceasefire in October 2025. Both sides continue to face international pressure to uphold the agreement, with ongoing diplomatic efforts aimed at preserving the fragile truce. While this prolonged state of regional warfare has not had a direct material financial impact on the Company as of the date of this filing, the Company’s headquarters are located in Israel, and as of December 31, 2025, the Company employs approximately 1,000 professionals in Israel, including the majority of the Company’s senior leadership team. The Company continues to actively monitor the developments in this geographic region.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judgment of a U.S. court against us and our officers and directors, to assert legal claims in Israel or to serve process on our officers and directors.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offices in Israel and many of our employees and officers and directors are residents of Israel. Certain of our assets and the assets of these persons are located in Israel. Additionally, a number of our directors are residents of China. Therefore, a judgment obtained against us, or any of these persons, may not be collectible in the United States and may not necessarily be enforced by an Israeli or Chinese court. It also may be difficult to affect service of process on these persons in the United States or to assert U.S. law claims in original actions instituted in Israel or China, as applicable. Additionally, it may be difficult for an investor, or any other person or entity, to initiate an action with respect to U.S. laws in Israel, as applicable. Israeli or Chinese courts may refuse to hear a claim based on an alleged violation of U.S. laws reasoning that Israel or China, as applicable, is not the most appropriate forum in which to bring such a claim. In addition, even if an Israeli or Chinese court agrees to hear a claim, it may determine that Israeli or Chinese law and not U.S. law is applicable to the claim. If U.S. law is found to be applicable, the content of applicable U.S. law must be proven as a fact by expert witnesses, which can be a time consuming and costly process. Certain matters of procedure will also be governed by Israeli or Chinese law, as applicable.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enforce covenants not-to-compete under current Israeli and California law, which might result in added competition for our products.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non-competition agreements or provisions with most of our Israeli employees and Israeli executive officers, including Robert Antokol, our Chief Executive Officer and Chairperson of our board of directors. These agreements or provisions are governed by Israeli law and prohibit our employees from competing with us or working for our competitors, generally during, and for up to one year after termination of, their employment with us. However, Israeli courts are reluctant to enforce non-compete undertakings of former employees and tend, if at all, to enforce those provisions for only relatively brief periods of time or in restricted geographical areas. In addition, Israeli courts typically require the presence of additional circumstances, such as a demonstration of an employer’s legitimate interest which was damaged; breach of fiduciary duties, loyalty and acting not in good faith; a payment of a special consideration for employee’s non-compete obligation; material concern for disclosing employer’s trade secrets; or a demonstration that an employee has unique value to the employer specific to that employer’s business, before enforcing a non-competition undertaking against such employee.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post-employment restrictive covenants, barring certain exceptions, are not enforceable in certain U.S. states in which we operate, including California, which may create similar risks of competition. Two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including our President and Chief Financial Officer, are located in California. We currently do not have employment agreements with such officers. The absence of employment agreements with these officers could create competition retention risks, potentially disrupting our operations and negatively impacting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severance pay obligations for certain employees under Israeli law, which may result in an increase in our expenditures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Israel’s Severance Pay law, 5723-1963, or the Severance Pay Law, employers are required to make severance payments to dismissed employees and employees leaving employment in certain other circumstances, on the basis of their latest monthly salary for each year of service or a portion thereof. These statutory severance obligations are generally more extensive than under U.S. law, and this obligation may result in significant additional expenses for us, including accrued expenses, if we elect to terminate employees in Israel.</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its Israeli subsidiaries have elected to include their Israeli employees under Section 14 of the Severance Pay Law, or Section 14. Section 14 entitles these employees to monthly deposits with third-party insurance companies and pension funds, at a rate of 8.33% of their monthly salary. In two cases, the Company and the employee have agreed to a salary lower than their actual monthly salary for purposes of Section 14. These payments release the Company from future obligations under the Israeli Severance Pay Law for all employees, other than the aforementioned two employees. Accordingly, any liability for severance pay due to these employees, and the deposits under Section 14 are not recorded as an asset in the Company’s consolidated balance sheet.The two aforementioned employees agreed to waive their rights to any additional severance pay from the Company to which they would be eligible under Israeli law given that the Company’s severance contributions for them have been based on a salary lower than their actual salary. However, in the event the Company is not fully relieved from its statutory severance pay obligations with respect to the aforementioned two employees despite such waivers, the Company could be obligated to pay additional statutory severance pay to them in connection with a termination for any reason other than for cause.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as a result of the obligation of management or key personnel to perform military service.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employees and consultants in Israel, including members of our senior management, may be obligated to perform one month, and in some cases longer periods, of annual military reserve duty until they reach the age of 40 (or older, for citizens who hold certain positions in the Israeli armed forces reserves) and, in the event of a military conflict, may be called to active duty. In response to increases in terrorist activity, there have been periods of significant call-ups of military reservists. For example, as a result of the Hamas attack on the State of Israel on October 7, 2023 and the ensuing war, dozens of the Company’s employees were called into active duty. It is possible that there will be similar or larger-scale military reserve duty call-ups in the future. Our operations could be disrupted by the absence of a significant number of our officers, directors, employees and consultants. Such disruption could adversely affect our business and operations in a material manner.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adversely affected by ongoing developments in Ukraine, Georgia, Romania, or Poland.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operations in central and eastern Europe. Since the early 1990s, Russia, Ukraine, Romania and other central and eastern European countries have sought to transform from one-party states with a centrally planned economy to democracies with a market economy to various degrees. Despite various reforms, the political systems of many of these countries remain vulnerable and unstable. In addition, the political and economic situation in these countries is negatively affected by the global economic crisis and the economic recession in some parts of the world.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Ukraine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political, civil and security situation in Ukraine cannot be accurately predicted since the Russian military invasion in February 2022. Ukraine’s political activities remain fluid and beyond our control. Following the invasion and Russia's subsequent occupation of the Donetsk, Luhansk, Kherson, and Zaporizhzhia regions of Ukraine, the United States and the European Community have imposed economic sanctions on Russia. The United States, EU, UK, Canada and Japan have imposed sanctions against and export controls involving Russia, and other potential retaliatory measures could be taken by the United States and other countries. We cannot predict the outcome of developments in Ukraine or the reaction to such developments by the United States, European, U.N. or other international authorities. While we continue to monitor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situation in Ukraine closely, any prolonged or expanded unrest, military activities, sanctions,or potential disruptions to energy and telecommunications infrastructure, should they be implemented, could have a material adverse effect on our operations. We have significant research and development centers in Ukraine and, accordingly, our business, financial condition, results of operations and prospects are affected by economic, political and legal developments in Ukraine.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Georgia</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political situation in Georgia cannot be accurately predicted. The October 2024 elections, won by the pro-Russian party Georgian Dream (GD), have not been recognized as legitimate by the European Union or the United States. Following the elections, the GD Prime Minister announced a halt to Georgia's EU accession process until at least 2028. This decision has sparked significant protests, which have been met with force, leading to a post-electoral crisis. In response, the US, UK, and EU have suspended program support and imposed sanctions on Georgian officials for human rights violations and undermining democracy. While these sanctions primarily target specific officials rather than broader sectors, the continued democratic backsliding has led the European Commission to formally suspend direct financial aid to the Georgian government as of late 2025. While Georgia does not currently support Russia in the war against Ukraine, potential sanctions could be imposed for reasons such as fraudulent elections, undermining democracy, and aiding Russia in evading sanctions. Prior to and following the dissolution of our Georgian entity in July 2025, we have contracted and continue to contract with a third party that supplies us contractors who are physically located in Georgia and, accordingly, our business, financial condition, results of operations and prospects are affected by economic, political and legal developments in Georgia.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Romania</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political environment in Romania is dynamic and may become unstable. Ilie Bolojan, the current Prime Minister, assumed office in June 2025. The years leading up to his tenure were characterized by instability in the country's political leadership. This instability was driven by internal tensions within coalition governments and frequent no-confidence motions, resulting in numerous Prime Ministers serving for less than a year. We cannot predict if political stability will hold, but if instability continues, our operations in Romania may be adversely affected by sudden changes in government policies, regulatory frameworks, and economic conditions, which could pose risks to our business performance and strategic. Separately, on-going recent military conflict in Ukraine has resulted in a negative impact in the region, affecting Romania’s political and economic outlook. Romania has a significant land border with Ukraine and, as a result, ongoing instability or military conflicts in Ukraine could have a significant and adverse effect on Romania’s economic and financial stability either directly or indirectly as a result of sanctions. We have a significant research and development center and a customer service center in Romania and, accordingly, our business, financial condition, results of operations and prospects are affected by economic, political and legal developments in Romania.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Poland</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Relations between the Polish and Russian governments have become increasingly hostile since the war between Russia and Ukraine began in 2022, with Poland bracing for a potential direct conflict with Russia. Although the two countries are not currently engaged in an open conflict, there were reports of Russian drone intrusions into Polish airspace in September 2025 with the Polish Prime Minister issuing statements that the resulting situation with Russia was the closest Poland has been to open conflict since World War Two. Poland has continued to bolster its defenses along its border with Russia and Belarus and tensions remain high. We have a significant research and development center in Poland and, accordingly, our business, financial condition, results of operations and prospects are affected by economic, political and legal developments in Poland.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disruption to our operations in Ukraine, Georgia, Romania or Poland may be prolonged and require us to reevaluate our operations in those countries, which may be more expensive and harm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Belarus as well as other responses to Russia’s invasion of Ukraine.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Russian invasion of Ukraine in 2022, governmental authorities in the United States, the European Union and the United Kingdom, among others, have launched numerous sanctions and export control measures. These measures, initially implemented in 2022, have been expanded and strengthened over time, including:</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1" w:name="page42"/>
    <w:bookmarkEnd w:id="41"/>
    <w:p>
      <w:pPr>
        <w:spacing w:after="0" w:line="221" w:lineRule="exact"/>
        <w:rPr>
          <w:sz w:val="20"/>
          <w:szCs w:val="20"/>
          <w:color w:val="auto"/>
        </w:rPr>
      </w:pPr>
    </w:p>
    <w:p>
      <w:pPr>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and Belarusian financial institutions (and their subsequent removal from SWIFT);</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and the Belarussian President, other politicians and those with government connections or involved in Russian military activities;</w:t>
      </w: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the Russian and Belarusian economies and the defense sector, including barring of Russian oil imports and purchases;</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sanctions introducing restrictions on providing loans to, and dealing in securities issued by, persons connected with Russia and restrictions on trade, including in connection with certain security-related goods and technology, iron and steel products, intercepting and monitoring services, maritime goods and technology, jet fuel and fuel additives and UK and EU currency banknotes;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against U.S. persons from making new investments in Russia;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and EU persons in Crimea and Sevastopol;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export controls and trade sanctions targeting Russia’s imports of technological goods as a whole, including tighter controls on exports and reexports of dual-use items, stricter licensing policy with respect to issuing export licenses, and/or increased use of “end-use” controls to block or impose licensing requirements on exports, as well as higher import tariffs and a prohibition on exporting luxury goods to Russia and Belarus.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conflict in Ukraine continues, there can be no certainty regarding whether the governmental authorities in the United States, the European Union, the United Kingdom or other counties will impose additional sanctions, export controls, trade restrictions or other measures targeting Russia, Belarus or other territories.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including in the United Kingdom, the European Union, and other jurisdictions in which we operate. We must be ready to comply with the existing and any other potential additional measures imposed in connection with the conflict in Ukraine. The imposition of such measures could adversely impact our business, including preventing us from performing existing contracts, recognizing revenue, pursuing new business opportunities or receiving payment for products already supplied or services already performed with customers.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games are currently available in Russia although we no longer support, update or promote them in Russia. While we believe that the presence of our game in Russia complies with all applicable laws, sanctions and export regulations can be complex, frequently evolving and subject to interpretation by authorities. For example, the ownership structure of certain Russian platforms is not always transparent and can make determinations around the applicability of sanctions to transactions with these platforms difficult. If a governmental authority determines that the offering of our games in Russia constitutes a violation of sanctions laws or regulations, potential consequences could include financial penalties, operational restrictions, reputational harm, and, in severe cases, criminal liability.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review and monitor our contractual relationships with suppliers to establish whether any are a target of the applicable sanctions. However, given the range of possible outcomes, the full costs, burdens, and limitations on our business may become significant.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even if an entity is not formally subject to sanctions, suppliers, customers and business partners of such entity may decide to reevaluate or cancel projects with such entity for reputational or other reasons. Depending on the extent and breadth of sanctions, export controls and other measures that may be imposed in connection with the conflict in Ukraine, it is possible that our business, financial condition and results of operations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functional currency is the U.S. Dollar and most of our revenues and expenses are primarily denominated in U.S. Dollars. However, increased international sales in the future may result in greater foreign currency denominated sales, increasing our foreign currency risk.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addition, a significant portion of our headcount related expenses, consisting principally of salaries and related personnel expenses, are incurred outside the United States and denominated in foreign currencies. We also incur </w:t>
      </w:r>
      <w:r>
        <w:rPr>
          <w:rFonts w:ascii="Times New Roman" w:cs="Times New Roman" w:eastAsia="Times New Roman" w:hAnsi="Times New Roman"/>
          <w:sz w:val="18"/>
          <w:szCs w:val="18"/>
          <w:color w:val="auto"/>
          <w:strike w:val="1"/>
        </w:rPr>
        <w:t>lease costs and</w:t>
      </w:r>
      <w:r>
        <w:rPr>
          <w:rFonts w:ascii="Times New Roman" w:cs="Times New Roman" w:eastAsia="Times New Roman" w:hAnsi="Times New Roman"/>
          <w:sz w:val="18"/>
          <w:szCs w:val="18"/>
          <w:color w:val="auto"/>
        </w:rPr>
        <w:t xml:space="preserve"> certain other operating expenses in foreign currencies. These expenses are subject to fluctuations due to changes in foreign currency exchange rates. If we are not able to successfully hedge against the risks associated with currency fluctuations, our financial condition and results of operations could be adversely affected. To date, we have entered into hedging transactions with respect to Israeli Shekel (“ILS”), Euro (“EUR”) Polish Zloty (“PLN”) and Romanian Leu (“RON”) in an effort to reduce our exposure to foreign currency exchange risk. While we may decide to enter into additional hedging transactions in the future, the availability and effectiveness of these hedging transactions may be limited and we may not be able to successfully hedge our exposure, which could adversely affect our financial condition and results of operations.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Yuzhu Shi is a Chinese national and Giant is a Chinese company that indirectly controls our controlling stockholder, Playtika Holding UK. For so long as a Chinese individual or company continues to exercise majority voting control over us, changes in U.S. and Chinese laws in the future may make it more difficult for us to operate as a publicly traded company in the United States.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Future developments in U.S. and Chinese laws may restrict our ability or willingness to operate as a publicly traded company in the United States for so long as Yuzhu Shi, who is a Chinese national, and Giant, which is a Chinese company, or other Chinese investors, continue to beneficially own a significant percentage of our outstanding shares of common stock. The relations between China and the United States are constantly changing. During his first term,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In March 2024, Congress passed the Protecting Americans from Foreign Adversary Controlled Applications Act which effectively required the ban or divestment of TikTok by its Chinese shareholder by January 19, 2025. Although President Donald Trump granted TikTok extensions to address regulatory concerns, relations between China and the U.S. continue to be complex and uncertain. Former President Joseph R. Biden issued executive orders barring American investment into certain Chinese companies and initiating national security reviews of software applications linked to foreign adversaries such as China, and the U.S. government has sanctioned numerous Chinese nationals and added Chinese companies to the Department of Commerce Entity List. The Chinese government has taken similar measures, including passing the Anti-Foreign Sanctions Law and imposing sanctions on American nationals and organizations.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Yuzhu Shi controls us through his indirect interest in Playtika Holding UK II Limited and its ownership of our common stock will prevent you and other stockholders from influencing significant decisions.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Yuzhu Shi controls shares representing a majority of our combined voting power through his indirect interest in Playtika Holding UK II Limited, or Playtika Holding UK and its affiliates. As long as Yuzhu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Yuzhu Shi may engage in activities where his interests may not be the same as,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51" w:lineRule="auto"/>
        <w:rPr>
          <w:sz w:val="20"/>
          <w:szCs w:val="20"/>
          <w:color w:val="auto"/>
        </w:rPr>
      </w:pPr>
      <w:r>
        <w:rPr>
          <w:rFonts w:ascii="Times New Roman" w:cs="Times New Roman" w:eastAsia="Times New Roman" w:hAnsi="Times New Roman"/>
          <w:sz w:val="18"/>
          <w:szCs w:val="18"/>
          <w:color w:val="auto"/>
        </w:rPr>
        <w:t>may conflict with, the interests of our other stockholders. Even if Yuzhu Shi were to control less than a majority of our voting power, he may be able to influence the outcome of corporate actions so long as he controls a significant portion of our voting power. For example, as we previously disclosed in June 2021, Yuzhu Shi and certain affiliates of Yuzhu Shi entered into an agreement that, if consummated, would have entitled Giant Network Group Co. Ltd., or Giant, a publicly traded company on the Shenzhen Stock Exchange, to be transferred beneficial ownership of certain shares of ours currently owned by Mr. Shi and his affiliates, the result of which would have been that Giant would control the voting power of the shares of our common stock and would permit Giant to consolidate us for accounting purposes. Had that transaction been consummated, Giant informed us that they would have been required to obtain the approval of its board of directors for substantially all potential acquisitions by it or its consolidated subsidiaries, including acquisitions by us, and, in certain cases, approval from Giant’s stockholders, which could have created potential conflicts between Yuzhu Shi’s affiliates and us on our acquisition strategies. Further, Giant informed us that had the transaction been consummated, substantially all derivative transactions and other extraordinary transactions undertaken by Playtika would need to be approved by Giant’s board of directors. While that transaction was abandoned, Mr. Shi and his affiliates may, in his and their discretion, seek to consummate similar transactions in the future, and we would not be able to prevent such transactions from being consummated. In addition, Mr. Shi and his affiliates have in the past informed the Company of certain ongoing liquidity needs that could drive a desire or need to engage in certain transactions that affect the Company, including through the potential sale of shares in the Company. In January 2022, Mr. Shi and his affiliates announced that they were exploring a sale of approximately 15-25% of the Company’s outstanding shares. As a result, the Company formed a special committee of the board of directors to evaluate strategic alternatives for the Company. Although the strategic alternatives process was terminated, one result of that process was the Company’s self-tender offer to repurchase up to $600 million in shares of its common stock which was consummated in the fall of 2022. The self-tender is an example of a transaction that the Company entered into at least in part due to Mr. Shi’s need for liquidity. In addition, in September 2024, Mr. Shi announced that Playtika Holding UK had entered into pledge agreements pursuant to which Playtika Holding UK pledged almost 200,000,000 shares of our common stock to secure certain loan obligations. Playtika Holding UK sold over 2,500,000 shares of our common stock in a series of transactions in November and December 2024. It is possible that Mr. Shi’s liquidity needs give rise to other Company transactions in the future, including transactions where Mr. Shi’s interests may not be the same as, or may conflict with, the interests of our other stockholders.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stockholders are not able to affect the outcome of any stockholder vote while Yuzhu Shi controls the majority of our voting power (or, in the case of removal of directors, two-thirds of our voting power). Due to his ownership and rights under our amended and restated certificate of incorporation and our amended and restated bylaws, Yuzhu Shi controls, subject to applicable law, the composition of our board of directors, which in turn controls all matters affecting us, including, among other things:</w:t>
      </w:r>
    </w:p>
    <w:p>
      <w:pPr>
        <w:spacing w:after="0" w:line="207" w:lineRule="exact"/>
        <w:rPr>
          <w:sz w:val="20"/>
          <w:szCs w:val="20"/>
          <w:color w:val="auto"/>
        </w:rPr>
      </w:pPr>
    </w:p>
    <w:p>
      <w:pPr>
        <w:ind w:left="660" w:right="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with respect to our business direction and policies, including the appointment and removal of officers and, in the event of a vacancy on our board of directors, additional or replacement directors;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business combinations or disposition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our management policies;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composition of the committees on our board of directors;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and benefit programs and other human resources policy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any other agreements that may adversely affect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our tax returns.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concentration of Yuzhu Shi’s ownership could also discourage others from making tender offers, which could prevent holders from receiving a premium for their common stock. Because Yuzhu Shi’s interests may differ from ours or from those of our other stockholders, actions that he takes with respect to us, as our controlling stockholder, may not be favorable to us or to you or our other stockholders.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current stock ownership by Yuzhu Shi has caused us, and may in the future cause us, to become subject to new or additional laws and regulations in China. For example, in 2023, China’s National Development and Reform Commission (the “NDRC”) released the Administrative Measures for the Review and Registration of Medium and Long-Term Foreign Debt of Enterprises (the “Foreign Debt Rules”). The Foreign Debt Rules require Chinese enterprises to notify and receive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approvals from the NDRC before their controlled overseas branches can issue or materially amend the terms of certain indebtedness that is borrowed outside of China. As a controlled overseas branch of Yuzhu Shi, these rules can affect our ability to issue or amend our indebtedness, including, for example, our Credit Agreement. Pursuant to the terms of the Foreign Debt Rules, the notifications must be delivered by our controlling stockholder, who we do not control, and approvals from the NDRC, if granted, can take up to several months to receive. As a result, for so long as we may be subject to the Foreign Debt Rules, the Foreign Debt Rules may significantly adversely impact our ability to incur new indebtedness or amend our existing indebtedness, on a timely basis, or at all, and may subject us to adverse consequences if we or our controlling stockholder do not comply with the applicable requirements thereunder. Similar rules may be implemented by China that could create additional risks to our ability to borrow or otherwise operate as a publicly traded company in the United States.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Committee on Foreign Investment in the United States may modify, delay or prevent our future acquisition or investment activities.</w:t>
      </w: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so long as Giant retains a material ownership interest in us, we will be deemed a “foreign person” under the regulations relating to the Committee on Foreign Investment in the United States, or CFIUS. As such, acquisitions of or investments in U.S. businesses or foreign businesses with U.S. subsidiaries that we may wish to pursue may be subject to CFIUS review. The scope of CFIUS review was expanded by the Foreign Investment Risk Review Modernization Act of 2018, or FIRRMA, and recently further enhanced by the Final Rule issued in November 2024. These regulations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The final regulations issued in November 2024 have increased the maximum civil monetary penalties for violations and expanded the circumstances under which penalties may be imposed, including for material misstatements or omissions outside of a review or investigation.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The 2024 regulations also allow CFIUS to request and compel information from transaction parties and other persons, and to impose timelines for responses to risk mitigation proposals, further enhancing CFIUS's ability to monitor and enforce compliance with its regulations. If such future regulations impose additional burdens on acquisition and investment activities involving China and Chinese investor-controlled entities, our ability to consummate transactions falling within CFIUS’s jurisdiction that might otherwise be beneficial to us and our stockholders would be hindered.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and Data 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adapt to, and keep pace with, changes in technology, platforms and devices, and evolving industry standards.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upon our ability to attract and retain players, which is largely driven by maintaining and increasing the quality and content of our games. To satisfy players, we need to continue to improve their experience and innovate and introduce games that players find useful and that cause them to return to our suite of games more frequently. This includes continuing to improve our technology to tailor our game offerings to the preferences and requirements of additional geographic and market segments, and adapt to the release of new devices and platforms and to improve the user-friendliness and overall availability of our games, all of which can be costly and generate risk. Our ability to anticipate or respond to changing technology and evolving industry standards and to develop and introduce improvements and enhancements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games on a timely basis is a significant factor affecting our ability to remain competitive, expand and attract new players and retain existing players. We cannot assure you that we will achieve the necessary technological advances or have the financial or other resources needed to introduce new games or improvements and enhancements to games on a timely basis or at all. In addition, our ability to increase the number of players of our games will depend on continued player adoption of such games. Accordingly, our failure to develop or adjust to changes in technology, platforms, devices and operating models and evolving industry standards could adversely impact our business. Even where we are able to successfully adapt to changing technology, platforms, devices and operating models and evolving industry standards, we may require substantial expenditures to do so, which could adversely impact our business, financial condition and results of operations.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games and other software applications and systems, and the third-party platforms upon which they are made available, could contain undetected errors.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games and other software applications and systems, as well as the third-party platforms upon which they are made available, could contain undetected errors, bugs, flaws, corrupted data, defects and other vulnerabilities that could adversely affect the performance of our games. These defects may only become apparent after we launch a new game or publish an update to an existing game, particularly as we launch new games or updates and rapidly release new features to existing games under tight time constraints. For example, these errors could prevent a player from making in-game purchases of virtual items, which could harm our reputation or results of operations. These errors could also be exploited by cheating programs and other forms of misappropriation, leveraged by nefarious actors to expose personal data, or creating other issues or problems harming the overall game-playing experience for our players. This could cause players to reduce their playing time or in-game purchases, discontinue playing our games altogether, or not recommend our games to other players, which could result in further harm to our reputation or results of operations. Such errors could also result in our games being non-compliant with applicable laws or create legal liability for us. Resolving such errors could disrupt our operations, cause us to divert resources from other projects, or harm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or significant interruption in our network could impact our operations and harm our business.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technology infrastructure is critical to the performance of our games and to player satisfaction. Most of our games run on our private cloud computing systems that are run through two primary data centers in the United States. Our servers located in these data centers are vulnerable to damage or interruption from fire, flood, power loss, telecommunications failure, terrorist attacks, acts of war, electronic and physical break-ins, computer viruses, earthquakes and similar events. The occurrence of any of these events could cause our games to become unavailable for a short or long period of time. We have experienced, and may in the future experience, website disruptions, outages and other performance problems due to a variety of factors, including infrastructure changes, human or software errors, malicious attempts to cause platform unavailability, and capacity constraints. If a particular game is unavailable when players attempt to access it or navigation through a game is slower than they expect, players may stop playing the game and may be less likely to return to the game as often, if at all. Similarly, certain games rely on third-party data centers, which may have similar risks over which we would have less control. A failure or significant interruption in our game service would harm our reputation and operations. We expect to continue to make significant investments in our technology infrastructure to maintain and improve all aspects of player experience and game performance. To the extent that our disaster recovery systems are not adequate, or we do not effectively address capacity constraints, upgrade our systems as needed and continually develop our technology and network architecture to accommodate increasing traffic, our business and results of operations may suffer. We do not maintain insurance policies covering losses relating to our systems, other than losses caused by cyber-attacks for which we have limited insurance coverage, and we do not have business interruption insurance, which may increase any potential harms that the business may suffer from systems failure or business interruptions.</w:t>
      </w:r>
    </w:p>
    <w:p>
      <w:pPr>
        <w:spacing w:after="0" w:line="2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security and integrity of the games we offer, and security breaches or other disruptions could compromise our information or the information of our players and expose us to liability, which would cause our business and reputation to suffer.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success depends in large part on providing secure games to our players. Our business sometimes involves the collection, storage, processing and transmission of players’ proprietary, confidential and personal information. We also maintain certain other proprietary and confidential information relating to our business and personal information of our personnel. Despite our security measures, our games may be vulnerable to attacks by hackers, players, vendors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or breaches due to malfeasance or other disruptions. Any security breach or incident that we have experienced, or may experience in the future, could result in, and has resulted in unauthorized access to, misuse of, or unauthorized acquisition of our or our players’ data, the loss, corruption or alteration of this data, interruptions in our operations, or damage to our computers or systems or those of our players or third-party platforms. Any of these could expose us to claims, regulatory investigations, litigation (including class actions), fines and potential liability, negative reputational impacts that cause us to lose existing or future customers, and/or significant incident response, system restoration or remediation and future compliance costs. Any or all of the foregoing could materially adversely affect our business, operating results, and financial condition.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increasing number of online services have disclosed security breaches, some of which have involved sophisticated and highly targeted attacks on portions of their services.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we could lose players. Data security breaches and other data security incidents may also result from non-technical means, such as actions by employees or contractors. Any compromise of our security could result in a violation of applicable privacy and other laws, regulatory or other governmental investigations, enforcement actions, and legal and financial exposure, including potential contractual liability that is not always limited to the amounts covered by our insurance. Any such compromise could also result in damage to our reputation and a loss of confidence in our security measures. Any of these effects could have a material adverse impact on our results of operations, cash flows and financial condition.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prevent anomalies and monitor and ensure the quality and integrity of our games and software is periodically reviewed and enhanced, but may not be sufficient to prevent future attacks, breaches or disruptions. Similarly, we assess the adequacy of our security systems, including the security of our games and software to protect against any material loss to any of our players and the integrity of our games to players. However, we cannot provide assurances that our business will not be affected by a security breach or lapse.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the service providers we rely upon sustain cyber-attacks or other privacy or data security incidents that result in security breaches, we could suffer a loss of sales and increased costs, exposure to significant liability, reputational harm and other negative consequences.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information technology has been and in the future may be subject to cyber-attacks, viruses, malicious software, break-ins, theft, computer hacking, employee error or malfeasance or other security breaches. While to date no incidents have had a material impact on our operations or financial results, we cannot guarantee that material incidents will not occur in the future. Hackers and data thieves, state-sponsored threat actors, criminal actors, hacktivists and others are increasingly sophisticated and operate large-scale and complex automated attacks through a variety of vectors such as social engineering/phishing, company insiders, suppliers or providers, and as a result of human or technological error, including misconfigurations, bugs, or other vulnerabilities in software and hardware.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coordinated attacks by activist entities, misplaced or lost data, human errors, or other similar events that could negatively affect our systems and the data stored on those systems, and the data of our business partners. Further, third parties upon whom we rely upon to develop and operate our games, such as hosted solution providers and providers of software platforms or game engines, could also be a source of security risks in the event of a failure of their own security systems and infrastructure.</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 – including artificial intelligence – that circumvent security controls, evade detection and remove forensic evidence. As a result, we may be unable to detect, investigate, remediate or recover from future attacks or incidents, or to avoid a material adverse impact to our security systems and infrastructure and the protection of our confidential information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protecting against cyber-attacks, it may not be sufficient to cover all possible claims stemming from security breaches, cyberattacks and other types of unlawful activity, or any resulting disruptions from such events, and we may suffer losses that could have a material adverse effect on our business or that applicable insurance will be available to us in the future on economically reasonable terms or at all. We could also be negatively impacted by existing and proposed laws and regulations in the United States, Israel, the European Union, and other jurisdictions in which we operate, as well as government policies and practices related to cybersecurity, data privacy, data localization and data protection.</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platforms on which we distribute games may encourage, or require, compliance with certain security standards, such as the voluntary cybersecurity framework released by the National Institute of Standards and Technology, or NIST, which consists of controls designed to identify and manage cyber-security risks, and we could be negatively impacted to the extent we are unable to comply with such standards.Our ability to comply with such standards depends, in part, on the security of third-party service providers upon whom we rely. For example, security vulnerabilities in widely used third-party game engines, such as those identified in the Unity engine in late 2025, could impair our ability to meet platform security mandates, which could materially and adversely affect our reputation, results of operations, cash flows and financial condition.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and other systems, and any failures in our systems or errors, defects or disruptions in our games could diminish our brand and reputation, subject us to liability and disrupt our business and adversely impact our results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that are important to the operation of our business, some of which are managed by third parties. These third parties are typically under no obligation to renew agreements and there is no guarantee that we will be able to renew these agreements on commercially reasonable terms, or at all. These systems are used to process, transmit and store electronic information, to manage and support our business operations and to maintain internal control over our financial reporting. In addition, we collect and store certain data, including proprietary business information, and may have access to confidential or personal information in certain of our businesses that is subject to privacy and security laws and regulations. We could encounter difficulties in developing new systems, maintaining and upgrading current systems and preventing security breaches. Among other things, our systems are susceptible to damage, outages, disruptions or shutdowns due to fire, floods, power loss, break-ins, cyber-attacks, network penetration, denial of service attacks and similar events. Any failures in our computer systems or telecommunications services could affect our ability to operate our games or otherwise conduct business.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Portions of our information technology infrastructure, including those operated by third parties,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resource-intensive. We have no control over third parties that provide services to us and those parties could suffer problems or make decisions adverse to our business. We have contingency plans in place to prevent or mitigate the impact of these events. However, such disruptions could materially and adversely impact our ability to deliver games to players and interrupt other processes. If our information systems do not allow us to transmit accurate information, even for a short period of time, to key decision-makers, the ability to manage our business could be disrupted and our results of operations, cash flows and financial condition could be materially and adversely affected. Failure to properly or adequately address these issues could impact our ability to perform necessary business operations, which could materially and adversely affect our reputation, competitive position, results of operations, cash flows and financial condition.</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games rely on data transferred over the internet, including wireless internet. Access to the internet in a timely fashion is necessary to provide a satisfactory player experience to the players of our games. Third parties, such as telecommunications companies, could prevent access to the internet or limit the speed of our data transmissions, with or without reason, causing an adverse impact on our player experience that may materially and adversely affect our reputation,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results of operations, cash flows and financial condition. In addition, telecommunications companies may implement certain measures, such as increased cost or restrictions based on the type or amount of data transmitted, that would impact consumers’ ability to access our games, which could in turn materially and adversely affect our reputation, competitive position, results of operations, cash flows and financial condition. Furthermore, internet penetration may be adversely affected by difficult global economic conditions or the cancellation of government programs to expand broadband access.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growth and maintenance of wireless communications infrastructure.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on the continued growth and maintenance of wireless communications infrastructure in the United States and internationally. This includes deployment and maintenance of reliable next-generation digital networks with the speed, data capacity and security necessary to provide reliable wireless communications services. Wireless communications infrastructure may be unable to support the demands placed on it if the number of subscribers continues to increase, or if existing or future subscribers increase their bandwidth requirements. Wireless communications have experienced a variety of outages and other delays as a result of infrastructure and equipment failures and could face outages and delays in the future. These outages and delays could reduce the level of wireless communications usage as well as our ability to distribute our games successfully. In addition, changes by a wireless carrier to network infrastructure may interfere with downloads of our games and may cause players to lose functionality in our games that they have already downloaded. This could harm our reputation, business, financial condition and results of operations.</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laws and regulations in the jurisdictions in which we do business could increase the cost of our operations and subject us to possible sanctions, civil lawsuits (including class action or similar representative lawsuits) and other penalties; such laws and regulations are continually evolving. Our or our platform and service providers’ actual or perceived failure to comply with these laws and regulations could harm our business.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collect, process, store, use and share data, some of which contains personal information, including the personal information of our players. Our business is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scope of data privacy and security regulations worldwide continues to evolve, we anticipate the adoption of increasingly restrictive regulations within the United States and other jurisdictions. As of the end of 2025, numerous U.S. states have enacted consumer data privacy laws, which have required, and could continue to require, us to modify our data collection or processing practices and policies and to incur substantial costs and expenses in an effort to comply. Further, there currently are a number of additional proposals related to data privacy or security pending before federal, state, and foreign legislative and regulatory bodies and there appears to be a trend towards more stringent state privacy legislation in the U.S., which could increase our potential liability and adversely affect our business. Data Protection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Within the European Economic Area and the UK, the GDPR and similar regimes impose strict requirements on data privacy and security, including, for example, higher standards for consent and disclosures, strengthened individual rights, and shortened timelines for data breach notifications. These regimes also provide for significant financial penalties for noncompliance (including possible fines of up to 4% of global annual revenues for the preceding financial year or €20 million (whichever is higher) for the most serious violations). These laws and regulations lead to additional costs and increase our overall risk exposure.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United States and European lawmakers and regulators have expressed concern over electronic marketing and the use of third-party cookies, web beacons and similar technology for online behavioral advertising. In the European Union, e-marketing rules under the ePrivacy Directive look to impose strict opt-in e-marketing rules with limited exceptions for business-to-business communications while significantly increasing fining powers to the same levels as the GDPR. Regulation of cookies and web beacons may lead to broader restrictions on our online activities, including efforts to understand followers’ internet usage and promote ourselves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Israel also has data protection laws and regulations, including the </w:t>
      </w:r>
      <w:r>
        <w:rPr>
          <w:rFonts w:ascii="Times New Roman" w:cs="Times New Roman" w:eastAsia="Times New Roman" w:hAnsi="Times New Roman"/>
          <w:sz w:val="18"/>
          <w:szCs w:val="18"/>
          <w:i w:val="1"/>
          <w:iCs w:val="1"/>
          <w:color w:val="auto"/>
        </w:rPr>
        <w:t>Israeli Protection of Privacy Law,</w:t>
      </w:r>
      <w:r>
        <w:rPr>
          <w:rFonts w:ascii="Times New Roman" w:cs="Times New Roman" w:eastAsia="Times New Roman" w:hAnsi="Times New Roman"/>
          <w:sz w:val="18"/>
          <w:szCs w:val="18"/>
          <w:color w:val="auto"/>
        </w:rPr>
        <w:t xml:space="preserve"> 5741-1981 (the “PPL”), and related regulations, which impose certain obligations relating to the use, processing and security of personal data and conditions on certain cross-border transfers. A significant amendment to the PPL that took effect in August 2025 enhances the enforcement authority of regulators, expands the provisions in the law which can be subject to statutory damages, and introduces new obligations on organizations, including for example the mandatory appointment of a Data Protection Officer (DPO) in certain circumstances, and a private right of action for certain violations, including claims for compensation without proof of damages. Certain violations of the PPL are considered a criminal and/or a civil offense and could expose the violating entity to criminal, administrative, and financial sanctions, as well as to civil actions, and regulators may issue public determinations that could be used in related litigation.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Regarding transfers to the United States of personal data about our staff, European users, and other third parties, we utilize certain standard contractual clauses approved by the EU Commission (the SCCs) and other cross-border data transfer mechanisms, which have been the subject of legal challenges and regulatory scrutiny in the past and may face additional legal challenges or be the subject of additional legislative activity and regulatory guidance. Changes in transfer requirements could require us to implement different or additional measures to establish or maintain legitimate means for the transfer and receipt of personal data from the European Economic Area, Switzerland and the United Kingdom to the United States (and other countries), and we may, in addition to other impacts, experience additional costs associated with increased compliance burdens. We also face the potential for regulators to apply different standards to the transfer of personal data from those jurisdictions to the United States (and other countries). We also may be required to engage in contract negotiations with third parties that aid in processing data on our behalf, to the extent that any of our service providers or consultants have been relying on invalidated or insufficient transfer mechanisms (including the EU-U.S. Privacy Shield and/or contractual protections) for compliance with evolving interpretations of and guidance for cross-border data transfers pursuant to the GDPR, Swiss privacy laws, and UK privacy laws. In such cases, we may not be able to find alternative service providers which could limit our ability to process personal data from the European Economic Area, Switzerland, or the United Kingdom and increase our costs and/or impact our games or other offerings. We may face a risk of enforcement actions by data protection authorities in these jurisdictions relating to personal data transfers. Any such enforcement actions could result in substantial costs and diversion of resources, distract management and technical personnel, and adversely affect our business, financial condition, and results of operations.</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players, and otherwise adversely affect our business, reputation, legal exposure, financial condition and results of operations.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to comply with our posted privacy policies, our privacy-related obligations to players or other third parties, or any failure or perceived failure by us or our third-party service providers or data sharing partners to comply with legal obligations or regulatory requirements relating to privacy, data protection, online safety or information security may result in governmental investigations or enforcement actions, litigation, claims (including class actions), or public statements against us by consumer advocacy groups or others and could result in significant liability, cause our players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most of our games do not target children under 18 years of age as their audience, the FTC, as well as consumer organizations, may consider that the characteristics of several of our games may attract children under 13 years of age. The U.S. Children’s Online Privacy Protection Act, or COPPA, regulates the collection, use and disclosure of personal information from children under 13 years of age. The FTC has taken action against other gaming companies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jc w:val="both"/>
        <w:spacing w:after="0" w:line="255" w:lineRule="auto"/>
        <w:rPr>
          <w:sz w:val="20"/>
          <w:szCs w:val="20"/>
          <w:color w:val="auto"/>
        </w:rPr>
      </w:pPr>
      <w:r>
        <w:rPr>
          <w:rFonts w:ascii="Times New Roman" w:cs="Times New Roman" w:eastAsia="Times New Roman" w:hAnsi="Times New Roman"/>
          <w:sz w:val="18"/>
          <w:szCs w:val="18"/>
          <w:color w:val="auto"/>
        </w:rPr>
        <w:t>children’s’ privacy, for example, Epic Games, the maker of the popular game Fortnite, agreed to pay a $275 million fine for alleged violations of COPPA as well as take other corrective actions. In January 2025, the FTC announced a major enforcement action against a game developer for the sale of loot boxes to children and teens without verifiable parental consent. The complaint was settled with the developer having to, among other things, agree to enter into a ten-year compliance monitoring program and pay a fine of $20 million. If COPPA were to apply to us in a manner other than we have assessed or prepared for, our actual or alleged failure to comply with COPPA may increase our costs, subject us to expensive and distracting lawsuits or government investigations, could result in substantial fines or civil damages and could cause us to temporarily or permanently discontinue certain games or certain features and functions in games.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Laws around children’s privacy and online safety continue to evolve globally. For example, in the US, there have been federal proposals for new bills such as the Children and Teens’ Online Privacy Protection Act (COPPA 2.0) and the Kids Online Safety Act (KOSA). At the state level, states have enacted their own laws and codes such as California’s Age-Appropriate Design Code Act. In Australia, the Online Safety Act 2021 supplemented by several industry codes, which take effect in March 2026, requires service providers to implement additional controls to prevent minor access to harmful material, including ‘simulated gambling’ content. Furthermore, the Online Safety Amendment (Social Media Minimum Age) Act 2024 introduced a minimum age of 16 for social media access, and the scope of any exemptions (including for online gaming and streaming platforms) remains subject to ongoing regulatory review and interpretation. Regulators in the European Union, the United Kingdom (under the Online Safety Act 2023), and various U.S. states are increasingly mandating age assurance mechanisms. These requirements are shifting away from simple self-declaration (age-gating) toward more technical verification methods. For example, the United Kingdom enacted the “Age Appropriate Design Code” (commonly referred to as the “Children’s Code”), a statutory code of practice that requires online services, including games that are likely to be accessed by children under 18, to put the best interests of the child’s privacy first in the design, development and data-related behavior of the game. Several states in the U.S., including Texas, Utah, Louisiana, and California, have enacted app store accountability laws and similar age-verification statutes, many of which take effect in 2026 and require developers and store providers to verify the age of users and obtain verifiable parental consent before minors can access certain apps or complete in in-app purchases. These laws may apply not only to app stores but also to direct-to-consumer platforms. It is possible that other countries within and outside the European Union will follow with their own codes or guidance documents relating to processing personal information from children or in relation to online harms; currently, other countries are considering or have issued drafts of similar codes, including: Denmark, Switzerland and multiple U.S. Federal and State bills such as COPPA 2.0 and KOSA. These may result in substantial costs and may necessitate changes to our business practices which may compromise our growth strategy, adversely affect our ability to attract, monetize or retain players, and otherwise adversely affect our business, reputation, legal exposures, financial condition and results of operations. We cannot predict the scope and enforcement of age assurance requirements, and these regimes may be subject to conflicting interpretations, evolving guidance, and legal challenges. If we are unable to implement required changes in a timely manner, or if platforms apply these standards in a manner that adversely affects our games, we could face reduced revenue or suspension or removal of our games or related services in certain jurisdictions. Any of these outcomes could materially and adversely affect our business, results of operations, and financial condition.</w:t>
      </w:r>
    </w:p>
    <w:p>
      <w:pPr>
        <w:spacing w:after="0" w:line="2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some cases, we are dependent upon our platform providers to solicit, collect and provide us with information regarding our players that is necessary for compliance with these various types of regulations. Changes in applicable laws or in platform rules, conduct or technical requirements relating to data privacy, data protection and security could require us to modify our business practices, game design, features or privacy policy, increase our costs, and adversely affect our ability to operate and expand internationally. Any failure or perceived failure to comply with these platform-dictated rules, conduct or technical features may result in platform-led investigations or enforcement actions, or temporary or permanent suspension of our business activities with these platforms, cause our players to lose trust in us, and otherwise compromise our growth strategy, adversely affect our ability to attract, monetize or retain players, and otherwise adversely affect our business, reputation, legal exposures, financial condition and results of operations.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area of information security and data protection, many jurisdictions have passed laws requiring notification when there is a security breach involving personal data or requiring the adoption of minimum information security standards that are often vaguely defined and difficult to implement. Our security measures and standards may not be sufficient to protect personal information and we cannot guarantee that our security measures will prevent security breaches. A security breach that compromises personal information could harm our reputation and result in a loss of player and/or employee confidence in our games and ultimately in a loss of players, which could adversely affect our business and impact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A security breach could also involve loss or unavailability of business-critical data and could require us to spend significant resources to mitigate and repair the breach, which in turn could compromise our growth and adversely affect our ability to attract, monetize or retain players. These risks could also subject us to liability under applicable security breach-related laws and regulations and could result in additional compliance costs, costs related to regulatory inquiries and investigations, and an inability to conduct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protection of our intellectual property rights and proprietary information. If we are unable to obtain, maintain and enforce intellectual property protection for our games, or if the scope of intellectual property protection is not sufficiently broad, others may be able to develop and commercialize games substantially similar to ours, and our ability to successfully commercialize our games may be compromised.</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our success depends, in part, on protecting our owned and licensed intellectual property rights in the United States and in foreign countries, and we strive to protect such intellectual property rights by relying on federal, state and common law rights, as well as contractual restrictions. Our intellectual property includes certain trademarks, copyrights, patents, and trade secrets relating to our games or technology we operate, and proprietary or confidential information that is not subject to formal intellectual property protection. Our success may depend, in part, on our and our licensors’ ability to protect the trademarks, trade dress, names, logos or symbols under which we market our games and to obtain and maintain patent, copyright, trade secret and other intellectual property protection for the technologies, designs, software and innovations used in our games and our business. Though we own certain patents and patent applications relating to our technology and games, it is possible that third parties, including our competitors, may develop similar technology that is not within the scope of our patents, which would limit the competitive advantage of our patented technology, or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We have pursued and continue to pursue the filing of patents and registration of trademarks in the United States and certain foreign jurisdictions, a process that is expensive and time-consuming and may not be successful. We may not be able to obtain protection for our intellectual property rights and even if we are successful in obtaining effective patent, trademark and copyright protection, it is expensive to maintain these rights and the costs of defending our rights could be substantial. Moreover, our failure to develop and properly manage new intellectual property could hurt our market position and business opportunities. Furthermore, changes to intellectual property laws may jeopardize the enforceability and validity of our intellectual property portfolio and harm our ability to obtain intellectual property protection.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cannot assure you that we will be able to maintain consumer value in our trademarks, copyrights or other intellectual property rights in our technologies, designs, software and innovations, and the measures we take to protect our intellectual property rights may not provide us with a competitive advantage. If we are unable to adequately protect our intellectual property and other proprietary rights, our competitive position and our business could be harmed. Any of our owned or licensed intellectual property rights could be challenged, invalidated, circumvented, infringed, misappropriated or violated, our trade secrets and other confidential information could be disclosed in an unauthorized manner to third parties, or our intellectual property rights may not be sufficient to permit us to take advantage of current market trends, which could result in competitive harm. For example, in December 2016, a trademark infringement lawsuit was filed in Canadian court by Enigmatus s.r.o. against Playtika Ltd. and Caesars Entertainment, Inc. (CIE) regarding our use of the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trademarks. Additionally, in October 2020, a patent infringement claim, </w:t>
      </w:r>
      <w:r>
        <w:rPr>
          <w:rFonts w:ascii="Times New Roman" w:cs="Times New Roman" w:eastAsia="Times New Roman" w:hAnsi="Times New Roman"/>
          <w:sz w:val="18"/>
          <w:szCs w:val="18"/>
          <w:i w:val="1"/>
          <w:iCs w:val="1"/>
          <w:color w:val="auto"/>
        </w:rPr>
        <w:t>NEXRF Corp. v. Playtika Ltd., Playtika Holding Corp.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Caesars Interactive Entertainment LLC</w:t>
      </w:r>
      <w:r>
        <w:rPr>
          <w:rFonts w:ascii="Times New Roman" w:cs="Times New Roman" w:eastAsia="Times New Roman" w:hAnsi="Times New Roman"/>
          <w:sz w:val="18"/>
          <w:szCs w:val="18"/>
          <w:color w:val="auto"/>
        </w:rPr>
        <w:t>, was filed against Playtika Holding Corp., Playtika Ltd., our subsidiary, and CIE in U.S. District Court, District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Nevada alleging infringement of certain patents related to plaintiff’s games. Although both of these matters were ultimately dismissed in our favor, it is possible that future infringement claims could require us to pay damages or other costs or impose restrictions on certain actions such as the marketing of certain products or use of certain intellectual property rights.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trade secrets and proprietary knowledge to protect our unpatented know-how, technology and other proprietary information and to maintain our competitive position. We enter into confidentiality agreements with our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t>independent contractors regarding our trade secrets and proprietary information in order to limit access to, and disclosure and use of, our proprietary information, but we cannot guarantee that we have entered into such agreements with each party that may have or have had access to our trade secrets or proprietary information. Further,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which could harm our competitive position, business, financial condition, results of operations, and prospects.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Monitoring unauthorized use of our intellectual property is difficult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future, we may make claims of infringement against third parties or make claims that third-party intellectual property rights are invalid or unenforceable. These claims could:</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greater costs and expenses in the protection of our intellectual property;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negatively impact our intellectual property rights, for example, by causing one or more of our intellectual property rights to be ruled or rendered unenforceable or invalid; or</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and our resources.</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any lawsuit we bring to enforce our intellectual property rights, a court may refuse to stop the other party from using the technology at issue on grounds that our intellectual property rights do not cover the technology in question. Further,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proceedings, the defendant could counterclaim that our intellectual property is invalid or unenforceable and the court may agree, in which case we could lose valuable intellectual property rights. The outcome in any such lawsuits are unpredictable.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could be compromised by disclosure during this type of litigation. Any of the foregoing could harm our competitive position, business, financial condition, results of operations and prospects.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renew our existing brand and content licenses on favorable terms or at all and to obtain additional licenses would impair our ability to introduce new games, improvements or enhancements or to continue to offer our current games based on third-party content and make their brands and content available.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license certain intellectual property rights from third parties, and in the future we may enter into additional agreements that provide us with licenses to valuable intellectual property rights or technology. For example, we license intellectual property rights related to our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World Series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Poker </w:t>
      </w:r>
      <w:r>
        <w:rPr>
          <w:rFonts w:ascii="Times New Roman" w:cs="Times New Roman" w:eastAsia="Times New Roman" w:hAnsi="Times New Roman"/>
          <w:sz w:val="18"/>
          <w:szCs w:val="18"/>
          <w:color w:val="auto"/>
        </w:rPr>
        <w:t>games from CIE and NSUS Group Inc., respectively, Combined revenues derived from these games accounted for 9.7% and 11.6% of our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each of the years ended December, 2025 and 2024, respectively. In 2024, we entered into a license agreement with IGT for slot content for use in our slot-themed games. In addition, our SuperPlay studio entered into a licensed collaboration with Disney, pursuant to which it launched our </w:t>
      </w:r>
      <w:r>
        <w:rPr>
          <w:rFonts w:ascii="Times New Roman" w:cs="Times New Roman" w:eastAsia="Times New Roman" w:hAnsi="Times New Roman"/>
          <w:sz w:val="18"/>
          <w:szCs w:val="18"/>
          <w:i w:val="1"/>
          <w:iCs w:val="1"/>
          <w:color w:val="auto"/>
        </w:rPr>
        <w:t>Disney Solitaire</w:t>
      </w:r>
      <w:r>
        <w:rPr>
          <w:rFonts w:ascii="Times New Roman" w:cs="Times New Roman" w:eastAsia="Times New Roman" w:hAnsi="Times New Roman"/>
          <w:sz w:val="18"/>
          <w:szCs w:val="18"/>
          <w:color w:val="auto"/>
        </w:rPr>
        <w:t xml:space="preserve"> game, based on Disney intellectual property, in April 2025. We may license additional intellectual property in the future which may be material to our business. Even if games based on licensed content or brands remain popular, any of our licensors could decide not to renew our existing licenses or not to license additional intellectual property rights to us and instead license to our competitors or develop and publish its own games or other applications, competing with us in the marketplace. Many of these licensors already develop games for other platforms and may have significant experience and development resources available to them should they decide to compete with us rather than license to us.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NSUS Group has granted us an exclusive, worldwide and royalty-bearing license to certain intellectual property associated with </w:t>
      </w:r>
      <w:r>
        <w:rPr>
          <w:rFonts w:ascii="Times New Roman" w:cs="Times New Roman" w:eastAsia="Times New Roman" w:hAnsi="Times New Roman"/>
          <w:sz w:val="18"/>
          <w:szCs w:val="18"/>
          <w:i w:val="1"/>
          <w:iCs w:val="1"/>
          <w:color w:val="auto"/>
        </w:rPr>
        <w:t>World Series of Poker</w:t>
      </w:r>
      <w:r>
        <w:rPr>
          <w:rFonts w:ascii="Times New Roman" w:cs="Times New Roman" w:eastAsia="Times New Roman" w:hAnsi="Times New Roman"/>
          <w:sz w:val="18"/>
          <w:szCs w:val="18"/>
          <w:color w:val="auto"/>
        </w:rPr>
        <w:t xml:space="preserve"> through September 23, 2031, and CIE granted us an exclusive, worldwide and royalty-bearing sublicense to certain trademarks and domain names associated with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through December 31, 2026. The trademarks and domain names associated with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were licensed to CIE from Caesars Entertainment Operating Company, Inc., or CEOC, and certain of its affiliates. These licenses permit the development, design, manufacture, offering for sale, advertising, promotion, distribution, sale, and use of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World Series of Poker</w:t>
      </w:r>
      <w:r>
        <w:rPr>
          <w:rFonts w:ascii="Times New Roman" w:cs="Times New Roman" w:eastAsia="Times New Roman" w:hAnsi="Times New Roman"/>
          <w:sz w:val="18"/>
          <w:szCs w:val="18"/>
          <w:color w:val="auto"/>
        </w:rPr>
        <w:t xml:space="preserve"> games for social gaming. The </w:t>
      </w:r>
      <w:r>
        <w:rPr>
          <w:rFonts w:ascii="Times New Roman" w:cs="Times New Roman" w:eastAsia="Times New Roman" w:hAnsi="Times New Roman"/>
          <w:sz w:val="18"/>
          <w:szCs w:val="18"/>
          <w:i w:val="1"/>
          <w:iCs w:val="1"/>
          <w:color w:val="auto"/>
        </w:rPr>
        <w:t>Caesars Slots</w:t>
      </w:r>
      <w:r>
        <w:rPr>
          <w:rFonts w:ascii="Times New Roman" w:cs="Times New Roman" w:eastAsia="Times New Roman" w:hAnsi="Times New Roman"/>
          <w:sz w:val="18"/>
          <w:szCs w:val="18"/>
          <w:color w:val="auto"/>
        </w:rPr>
        <w:t xml:space="preserve"> license includes non-competition provisions that prevent us from entering into marketing arrangements with other casino companies. Increased competition for licenses may lead to larger guarantees, advances and royalties that we must pay to our licensors when the terms of such licenses expire, which could significantly increase our cost of revenue and cash usage. We may choose not to renew these licenses or we may be unable to renew these licenses or to renew them on terms favorable to us, and we may be unable to secure alternatives in a timely manner. Failure to maintain or renew our existing licenses or to obtain additional licenses could impair our ability to introduce new games or to continue to offer our current games, which would materially harm our business, results of operations and financial condition. If we breach our obligations under existing or future licenses, we may be required to pay damages and our licensors might have the right to terminate the license or change an exclusive license to a non-exclusive license. Termination by a licensor would cause us to lose valuable rights and could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are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we may be subject to claims, regardless of their merit, that we are infringing or otherwise violating the licensor’s rights. In addition, the agreements under which we license intellectual property rights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identify additional third-party intellectual property rights we may need to license in order to engage in our business, including to develop or commercialize new games.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our net sales. Moreover, such licenses may be non-exclusive, which could give our competitors access to the same intellectual property rights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materially and adversely affected.</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successful in gaining new licenses or extending existing licenses, we may fail to anticipate the entertainment preferences of our players when making choices about which brands or other content to license. If the entertainment preferences of players shift to content or brands owned or developed by companies with which we do not have relationships, we may be unable to establish and maintain successful relationships with these developers and owners, which would materially harm our business, results of operations and financial condition. In addition, some rights are licensed from licensors that have or may develop financial difficulties and may enter into bankruptcy protection under U.S. federal law or the laws of other countries. In particular, CEOC operates in an industry that is vulnerable to changing economic conditions. For example, in 2015, CEOC filed for bankruptcy. If CEOC were to file for bankruptcy again or if any of our licensors files for bankruptcy, our licenses might be impaired or voided, which could materially harm our business, results of operations and financial condition.</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connection with certain of our games, which may pose particular risks to our proprietary software, games and services in a manner that could have a negative impact on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use open source software in connection with our technology and games. The original developers of the open source code generally provide no warranties on such code and open source software may have unknown bugs, malfunctions and other security vulnerabilities which could impact the performance and information security of our technology. Some open source software licenses require those who distribute open source software as part of their proprietary software to publicly disclose all or part of the source code to such software and/or make available any derivative works of the open source code on unfavorable terms or at no cost. From time to time, we may face claims from the copyright holders of open source software alleging copyright infringement and breach of contract for failure to meet the open source license terms, such as the failure to publicly disclose our proprietary code that is a derivative work of the open source software. Additionally, the copyright holders of open source software could demand release of the source code of any of our proprietary code that is a derivative work of the open source software, or otherwise seek to enforce, have us specifically perform, or recover damages for the alleged infringement or breach of, the terms of the applicable open source license. These claims could also result in litigation, require us to purchase a costly license or require us to devote additional research and development resources to change our games. The terms of various open source licenses have been interpreted by courts to a very limited extent, and there is a risk that such licenses could be construed in a manner that imposes unanticipated conditions, obligations or restrictions on our use of the open source software. We monitor our use of open source software and try to use open source software in a manner that complies with the terms of the open source licenses while at the same time not requiring the disclosure of the source code of our proprietary software. Our failure to comply with the terms of the open source licenses could require us to replace certain code used in our games, pay a royalty or license fee to use some open source code, make the source code of our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publicly available, pay damages for copyright infringement or breach of contract of open source licenses, or temporarily or permanently discontinue certain games. The above risks could have a material adverse effect on our competitive position, business, reputation, legal exposures, financial condition, results of operations, and prospects.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intellectual property rights of others may prevent us from developing new games and services or entering new markets or may expose us to liability or costly litigation.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continually adapt our games to incorporate new technologies, as well as intellectual property related to game mechanics and procedures, and to expand into markets that may be created by these new developments. If technologies are protected by the intellectual property rights of others, including our competitors, we may be prevented from introducing games based on these technologies or expanding into markets created by these technologies.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assure you that our business activities and games will not infringe upon the proprietary rights of others, or that other parties will not assert infringement claims against us. We have in the past and may in the future be subject to litigation alleging that we have infringed the trademarks, copyrights, patents and other intellectual property rights of third parties, including our competitors, non-practicing entities and former employers of our personnel. For example, in December 2016, a trademark infringement lawsuit was filed in Canadian court by Enigmatus s.r.o. against Playtika Ltd. and CIE regarding our use of the Slotomania trademarks. In addition, on October 26, 2020, a patent infringement lawsuit was filed in the U.S. District Court, District of Nevada against Playtika Holding Corp., Playtika Ltd. and CIE regarding our use of certain patents related to certain of the defendant’s games. Although both of these claims were ultimately dismissed in our favor, a successful claim of infringement by a third party against us, our games or one of our licensees in connection with the use of our technologies, game mechanics or procedures, or an unsuccessful claim of infringement made by us against a third party or its products or games, could adversely affect our business or cause us financial harm. Any such claim and any resulting litigation, should it occur, could:</w:t>
      </w:r>
    </w:p>
    <w:p>
      <w:pPr>
        <w:spacing w:after="0" w:line="21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 or require us to pay significant amounts in damages;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invalidation of our proprietary rights or render our proprietary rights unenforceable;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games that incorporate the applicable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games or limit our ability to bring new games to the market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costly or burdensome royalty, licensing or settlement agreements in order to obtain the right to use a product or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the commercial viability of the games that are the subject of the claim during the pendency of such claim;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stop selling the infringing games.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of our technologies or games are found to infringe, misappropriate or otherwise violate a third party’s intellectual property rights, we could be required to obtain a license from such third party to continue commercializing or using such technology or game.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also be forced, including by court order, to cease the commercialization or use of the violating technology or game. Accordingly, we may be forced to design around such violated intellectual property, which may be expensive, time-consuming or infeasible.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similarly harm our business. If we are required to make substantial payments or undertake any of the other actions noted above as a result of any intellectual property infringement, misappropriation or violation claims against us, such payments, costs or actions could have a material adverse effect on our competitive position,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required to protect our proprietary technology and content in an increasing number of jurisdictions, a process that is expensive and may not be successful, or which we may not pursue in every location. Filing, prosecuting, maintaining, defending, and enforcing our intellectual property rights in all jurisdictions throughout the world would be prohibitively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18"/>
          <w:szCs w:val="18"/>
          <w:color w:val="auto"/>
        </w:rPr>
        <w:t>expensive, and our intellectual property rights in some jurisdictions outside the United States may be less extensive than those in the United States. Competitors may use our technologies in jurisdictions where we have not obtained protection to develop their own games and, further, may export otherwise violating games to territories where we have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efforts to protect our intellectual property rights in such jurisdictions may be inadequate. In addition, changes in the law and legal decisions by courts in the United States and foreign jurisdictions may affect our ability to obtain adequate protection for our games. Any of the foregoing could harm our competitive position, business, financial condition, results of operations and prospects.</w:t>
      </w:r>
    </w:p>
    <w:p>
      <w:pPr>
        <w:spacing w:after="0" w:line="2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harm our competitive position,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may fluctuate substantially.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volatile since our initial public offering in January 2021, with a low of $3.31 and high of $36.06. The market price of our common stock may continue to be highly volatile and may fluctuate or decline substantially as a result of a variety of factors, some of which are beyond our control or are related in complex ways, including:</w:t>
      </w:r>
    </w:p>
    <w:p>
      <w:pPr>
        <w:spacing w:after="0" w:line="20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estimates;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our revenues, which could be due in part to the way in which we recognize revenues;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 by us or our stockholders, as well as the anticipation of lock-up releases or lock-up waivers;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and entertainment companies generally, or those in the games industry in particular;</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including changes in our board of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errors or other problems associated with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regulation of our market;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including litigation by current or former employees alleging wrongful termination, sexual harassment, whistleblower or other claims;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games,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patents issued to us or our competitors and related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our stockholders, including our majority stockholder Playtika Holding UK;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the past, stockholders have instituted securities class action litigation following periods of market volatility. For example, on November 23, 2021, the Company, its directors and certain of its officers were named in a putative class action lawsuit filed in the United States District Court for the Eastern District of New York (Bar-Asher v. Playtika Holding Corp. et al.). The complaint alleged violations of federal securities laws arising out of alleged misstatements or omissions by the defendants during the alleged class period and seeks, among other things, damages and attorneys’ fees and costs on behalf of the putative class. Although this case was ultimately dismissed, any securities class action litigation could subject us to substantial costs, divert resources and the attention of management from our business and harm our business, results of operations, financial condition and reputation. These factors may materially and adversely affect the market price of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to some extent by the research and reports that industry or financial analysts publish about us and our business. We do not control these analysts. The analysts who publish information about our common stock may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common stock.</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This could cause the market price of our common stock to drop significantly, even if our business is doing well.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including in connection with potential future offerings.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2022, we and our largest shareholder, Playtika Holding UK, announced that Playtika Holding UK had decided to explore options for a potential sale of a portion of the shares of our common stock held by Playtika Holding UK, which may include by means of private placements, public offerings or other transactions. The determination by Playtika Holding UK to conduct any such potential transactions, and the timing thereof, are uncertain and may depend on, among various factors, the price and terms of any such potential transactions, general market and economic conditions and the outcome of any negotiations among the applicable parties. There can be no assurance that any potential transactions will lead to any transactions being agreed or consummated by Playtika Holding UK, and it is possible that the consummation of any such possible transactions could negatively affect the price of our common stock.</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28, 2022, Playtika Holding UK announced on Schedule 13D that Playtika Holding UK had entered into a Stock Purchase Agreement (the “Playtika Holding UK – Joffre SPA”), dated as of June 27, 2022, with Joffre Palace Holdings Limited (“Joffre”), pursuant to which, among other things, Joffre agreed to acquire 106,102,467 shares (the “Purchased Shares”) of the common stock of the Company from Playtika Holding UK, subject to certain terms and conditions. On January 3, 2023, Playtika Holding UK announced on Schedule 13D that on January 1, 2023, Playtika Holding UK notified Joffre that it was terminating the Playtika Holding UK – Joffre SPA.</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Schedule 13Ds filed on September 20, 2024 and November 27, 2024, Playtika Holding UK announced that it had entered into pledge agreements pursuant to which Playtika Holding UK pledged almost 200,000,000 shares of our common stock to secure certain loan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sale of our common stock on the open market by our majority stockholder or other significant stockholder may have in the past and may in the future adversely affect our share price. For example, Playtika Holding UK sold over 2,500,000 shares of our common stock in a series of transactions in November and December 2024.</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Playtika Holding UK may elect to enter into similar transactions in the future, which could similarly potentially negatively affect the price of our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turn affect any attempt by our stockholders to replace current members of our management team. Among others, these provisions include that:</w:t>
      </w:r>
    </w:p>
    <w:p>
      <w:pPr>
        <w:spacing w:after="0" w:line="252" w:lineRule="exact"/>
        <w:rPr>
          <w:sz w:val="20"/>
          <w:szCs w:val="20"/>
          <w:color w:val="auto"/>
        </w:rPr>
      </w:pPr>
    </w:p>
    <w:p>
      <w:pPr>
        <w:jc w:val="both"/>
        <w:ind w:left="660" w:hanging="328"/>
        <w:spacing w:after="0" w:line="25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on which Playtika Holding UK and its affiliates cease to beneficially own, in the aggregate, more than 50% in voting power of our stock entitled to vote generally in the election of directors (a “Triggering Event”), our board of directors will be divided into three classes, Class I, Class II and Class III, with each class serving staggered three-year terms, which may delay the ability of stockholders to change the membership of a majority of our board of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Triggering Event, our stockholders may not act by written consent, which will force stockholder action to be taken at an annual or special meeting of our stockholders;</w:t>
      </w: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our bylaws without obtaining stockholder approval;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amended and restated certificate of incorporation regarding the election and removal of directors;</w:t>
      </w: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we will pay dividends in the future.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recently announced that we would be suspending our quarterly dividend in order to preserve flexibility and direct capital to the highest return uses. Our ability to pay dividends is limited to our assets legally available for distribution, and may be adversely affected upon the occurrence of any of the risks described herein. Furthermore, our payment of dividends is also subject to compliance with restrictions contained in our current and future debt arrangements, and any preferred stock we may issue in the future. Any future dividends, and the amounts of such dividends, will be paid only at the discretion of our board of directors and will depend upon our earnings, our financial condition, availability of cash, and such other factors as our board of directors may deem relevant from time to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amount and timing of repurchases under our stock repurchase program.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announced on May 9, 2024, that our board of directors authorized a stock repurchase program for up to $150 million of our common stock, there can be no assurance that any additional repurchases will be made under the program or, if made, as to the timing or amount of any such repurchases, due to factors such as market conditions and capital availability and other strategic considerations. This lack of assurance can impact the expected benefits and returns from the repurchase program for investors.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if the Court of Chancery does not have jurisdiction, another State court in Delaware or the U.S. District Court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0" w:name="page61"/>
    <w:bookmarkEnd w:id="6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District of Delaware) will be the sole and exclusive forum for substantially all disputes between us and our stockholders, which could limit our stockholders’ abilities to obtain a favorable judicial forum for disputes with us or our directors, officers or employees.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 RISK MANAGEMENT AND STRATEGY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the NIST Cybersecurity Framework and CIS Critical Security Controls as a guide to help us identify, assess, and manage cybersecurity risks relevant to our business. This does not imply that we meet any particular technical standards, specifications, or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comprises one component of our overall enterprise risk management program which is organized by discipline areas. Our cybersecurity risk management program shares common reporting channels and governance processes that apply across the enterprise risk management program to other legal, compliance, strategic, operational, and financial risk areas.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 the following key elements:</w:t>
      </w:r>
    </w:p>
    <w:p>
      <w:pPr>
        <w:spacing w:after="0" w:line="252" w:lineRule="exact"/>
        <w:rPr>
          <w:sz w:val="20"/>
          <w:szCs w:val="20"/>
          <w:color w:val="auto"/>
        </w:rPr>
      </w:pPr>
    </w:p>
    <w:p>
      <w:pPr>
        <w:ind w:left="660" w:right="2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services, and our broader enterprise IT environment;</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software development procedures and processes throughout the lifecycles of our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team comprised of IT security, IT engineering and IT compliance personnel principally responsible for directing (1) our cybersecurity risk assessment processes, (2) our security processes, and (3) our response to cybersecurity incidents;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cybersecurity service providers, where appropriate, to assess, test or otherwise assist with aspects of our security processes;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including annual mandatory training for all employees and contractors in addition to monthly phishing simulations and the use of designated security champions throughout the Company’s departments;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and Security Operations Center (SOC) to respond to cybersecurity incidents;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for cybersecurity matters;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third-party risk management process for service providers which requires critical vendors to provide security certifications such as SOC 2 Type II and includes continuous monitoring of vendor security postures and annual security audits to ensure ongoing compliance with our standards.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including our controls, procedures and processes, will be fully complied with or that our program will be fully effective in protecting the confidentiality, integrity and availability of our information systems, product and network. See “</w:t>
      </w:r>
      <w:r>
        <w:rPr>
          <w:rFonts w:ascii="Times New Roman" w:cs="Times New Roman" w:eastAsia="Times New Roman" w:hAnsi="Times New Roman"/>
          <w:sz w:val="18"/>
          <w:szCs w:val="18"/>
          <w:i w:val="1"/>
          <w:iCs w:val="1"/>
          <w:color w:val="auto"/>
        </w:rPr>
        <w:t>Risk Factors – Our success depends on the security and integrity of the games we offer, and security breaches or other disruptions could compromise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or the information of our players and expose us to liability, which would cause our business and reputation to suffer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reporting period, we did not experience any cybersecurity incident that has materially affected us, including our operations, business strategy, results of operations, or financial condition. We face certain ongoing risks from cybersecurity threats that, if realized and material,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 Factors – If we sustain cyber-attacks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other privacy or data security incidents that result in security breaches, we could suffer a loss of sales and increased costs, exposure to significant liability, reputational harm and other negative consequences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critical to the enterprise and delegates the cybersecurity risk oversight function to the Audit Committee. The Audit Committee oversees management’s design, implementation and enforcement of our cybersecurity risk management program.</w:t>
      </w:r>
    </w:p>
    <w:p>
      <w:pPr>
        <w:spacing w:after="0" w:line="18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Chief Information Security Officer (CISO) periodically reports to the Board and leads the Company’s overall cybersecurity function. The Audit Committee receives regular reports from our CISO on our cybersecurity risks, including briefings on our cyber risk management program and any cybersecurity incidents. Board members also receive periodic presentations on cybersecurity topics from our CISO or our Chief Technology Officer (CTO).</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CISO supervises efforts to prevent, detect, mitigate, and remediate cybersecurity risks and incidents through various means, which include briefings from internal security personnel, threat intelligence and other information obtained from governmental, public or private sources, including external cybersecurity service providers, and alerts and reports produced by security tools deployed in the IT environment.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CISO oversees our internal cybersecurity personnel and external cybersecurity service providers. Our CISO has over twenty years of experience in managing and leading IT and cybersecurity teams, including approximately ten years in senior security leadership roles at a global fintech company prior to joining the Company. Our CISO reports directly to our CTO who has over twenty years of experience in technology and IT including roles at large global companies.</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facilities in 10 locations throughout the world, including locations in Israel, the United States, Austria, Finland, Germany, Netherlands, Poland, Romania, Ukraine, and the United Kingdom.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spacing w:after="0" w:line="20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various claims, complaints and legal actions in the normal course of business. In addition, we may receive notifications alleging infringement of patent or other intellectual property rights.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10, 2023, Playtika Holding UK II Limited, the Company’s controlling shareholder, and certain officers of the Company were sued (Kormos v Playtika Holding UK II Limited, et al.) in the Delaware Chancery Court. The lawsuit alleges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62" w:name="page63"/>
    <w:bookmarkEnd w:id="62"/>
    <w:p>
      <w:pPr>
        <w:jc w:val="both"/>
        <w:spacing w:after="0" w:line="255" w:lineRule="auto"/>
        <w:rPr>
          <w:sz w:val="20"/>
          <w:szCs w:val="20"/>
          <w:color w:val="auto"/>
        </w:rPr>
      </w:pPr>
      <w:r>
        <w:rPr>
          <w:rFonts w:ascii="Times New Roman" w:cs="Times New Roman" w:eastAsia="Times New Roman" w:hAnsi="Times New Roman"/>
          <w:sz w:val="18"/>
          <w:szCs w:val="18"/>
          <w:color w:val="auto"/>
        </w:rPr>
        <w:t>generally that the defendants breached fiduciary duties owed to the Company and its stockholders with respect to the controlling shareholder’s indication of an interest in selling some or all of its shares, and the resulting strategic review process and self-tender offer. On August 18, 2023, defendants filed with the Court motions to dismiss the claims. A hearing on the motions to dismiss was held on November 21, 2023. On January 18, 2024, the court denied Playtika Holding UK II Limited’s motion to dismiss in an oral ruling. The court issued a written opinion on May 3, 2024 granting the motion to dismiss the claims against the Company’s officers. The plaintiffs and the remaining defendant agreed to a settlement agreement and submitted the settlement agreement to the Court for approval on October 8, 2025. The Court approved the settlement agreement on January 21, 2026. The terms of the settlement do not involve any financial obligation of the Company and are not expected to have any financial impact to the Company’s financial statements as a whole.</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13, 2023, plaintiff Gina Burt filed a lawsuit against the Company and its subsidiary, Playtika Ltd., in the Circuit Court of Coffee County, Tennessee, alleging that the Company’s social casino-themed games are unlawful gambling under Tennessee law. The lawsuit seeks to recover all amounts paid by Tennessee residents to the Company in connection with its games during the period beginning one year before the filing of the lawsuit until the case is resolved but excluding any residents who spent $75,000 or more during such time period. The plaintiff filed an amended complaint on August 28, 2025. The Company removed the case to federal court on September 29, 2025. In response to a joint motion of the parties, on January 28, 2026, the court entered an order compelling arbitration of plaintiff’s claims. As the case is in preliminary stages, the Company cannot estimate what impact, if any, the litigation may have on its results of operations, financial condition or cash flows. The Company intends to defend this case vigorously.</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8, 2023, plaintiff Gayla Hamilton Mills filed a lawsuit against the Company and its subsidiary, Playtika Ltd., in the Circuit Court of Franklin County, Alabama, alleging that the Company’s social casino-themed games are unlawful gambling under Alabama law. The lawsuit seeks to recover all amounts paid by Alabama residents to the Company in connection with its games during the period beginning one year before the filing of the lawsuit until the case is resolved. After the Company removed the case to the U.S. District Court for the Northern District of Alabama, plaintiff dismissed the complaint and filed a very similar new complaint in the Circuit Court of Franklin County, Alabama on August 25, 2023. The new complaint asserted the same cause of action and bases for relief, but limited the requested recovery to the amounts paid to the Company in connection with its games only by those Alabama residents who spent less than $75,000 during the one year before the filing of the lawsuit until the case is resolved. The court ordered arbitration and stayed the case on August 20, 2025. The parties held a preliminary arbitration conference call on December 5, 2025. As the case is in preliminary stages, the Company cannot estimate what impact, if any, the litigation may have on its results of operations, financial condition or cash flows. The Company intends to defend this case vigorously.</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2025, plaintiff Stuart Mills filed a putative class action lawsuit against the Company and its subsidiary, Playtika Ltd., on behalf of all Alabama-based players of the Company’s games in the Circuit Court of Franklin County, Alabama. The suit, like the suit brought by Gayla Hamilton Mills, alleges that the Company’s casino-themed social games are unlawful gambling under Alabama law. The lawsuit seeks to recover all amounts paid by Alabama residents to the Company in connection with its games during the period beginning one year before the filing of the lawsuit until the case is resolved. The suit was filed by the same counsel who represent Gayla Hamilton Mills. The Company removed the case to the U.S. District Court for the Northern District of Alabama on July 11, 2025. Plaintiff’s motion to remand to state court was filed on August 11, 2025. The court denied the motion to remand and compelled the parties to arbitration on January 20, 2026. Plaintiff filed a petition seeking permission for interlocutory review by the Eleventh Circuit U.S. Court of Appeals of the denial of his motion to remand on January 30, 2026. The Company filed its response to the petition on February 9, 2026. As the case is in preliminary stages, the Company cannot estimate what impact, if any, the litigation may have on its results of operations, financial condition or cash flows.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22, 2024, plaintiff Dianne Fuqua filed a lawsuit against the Company and its subsidiary, Playtika Ltd., in the District Court for the Western District of Kentucky, alleging that the Company’s casino-themed social games are unlawful gambling under Kentucky law. The lawsuit seeks to recover three times the amount paid by Kentucky residents to the Company from its games during the period from August 2019 through June 2023 plus interest, costs and any other relief to which plaintiff is entitled to. The Company filed a motion to compel arbitration on July 11, 2025. Plaintiff filed an opposition to the renewed motion on July 25, 2025 and the Company filed its reply on August 8, 2025. The motion remains pending. In addition, on November 21, 2025, the court on its own initiative ordered both parties to submit briefs addressing whether plaintiff possesses Article III (constitutional) standing for purposes of jurisdiction in federal court. The parties submitted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 briefs on December 22, 2025, in response to that order. As the case is in preliminary stages, the Company cannot estimate what impact, if any, the litigation may have on its results of operations, financial condition or cash flows. The Company intends to defend this case vigorously.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2025, plaintiff Andrew Wright filed a putative class action lawsuit against the Company and its subsidiary, Playtika Ltd., in the U.S. District Court for the District of Utah, alleging that the Company’s social casino-themed games are unlawful gambling under Utah law. The lawsuit seeks to recover twice the amount of economic losses suffered by Utah residents to the Company in connection with its social casino-themed games plus interest and attorneys’ fees. The Company filed a motion to compel arbitration on February 17, 2026. As the case is in preliminary stages, the Company cannot estimate what impact, if any, the litigation may have on its results of operations, financial condition or cash flows. The Company intends to defend this case vigorously.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2025, plaintiff William Barbarino filed a putative class action lawsuit against the Company and its subsidiary, Playtika Ltd., in the U.S. District Court for the District of New Jersey, alleging that the Company’s social casino-themed games are unlawful gambling under federal and New Jersey law. The lawsuit seeks to recover up to three times the amount of economic losses suffered by New Jersey residents to the Company in connection with its social casino-themed games plus interest, attorneys’ fees and other relief the plaintiff and the putative class may be entitled to. The parties filed a joint stipulation and proposed order submitting the claims to arbitration, staying the case and preserving the parties’ positions on January 27, 2026. As the case is in preliminary stages, the Company cannot estimate what impact, if any, the litigation may have on its results of operations, financial condition or cash flows. The Company intends to defend this case vigorously.</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2025, we received a letter from the Attorney General of the State of Washington alleging that our social casino-themed and bingo-themed games violate state gambling and consumer protection laws, and requesting that we pay certain monetary penalties and prevent those games from being available to play in the state in the future. The Attorney General initiated a lawsuit in King County Superior Court in the State of Washington on February 3, 2026, against the Company and several of its subsidiaries asserting those same allegations. The Attorney General is seeking injunctive and declaratory relief, recovery of monies spent by Washington players in the games, civil statutory penalties, costs and fees, and other relief. As the case is in preliminary stages, the Company cannot estimate what impact, if any, the litigation may have on its results of operations, financial condition or cash flows. The Company intends to defend this case vigorously.</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8, 2025, the Company received pre-arbitration notices from another law firm purporting to represent 3,860 claimants who have played the Company’s games and intend to file arbitration demands alleging that the Company’s social casino-themed games violate state laws against gambling and that the games use false, deceptive and misleading practices. The notice demands the payment of the greater of $5,000 or the actual amount of in-game losses for the claimants, plus punitive and other damages and attorneys’ fees as well as the cessation of the alleged unlawful conduct. On August 5, 2025, we were notified that the law firm was continuing to solicit claimants and that they now represented 4,688 claimants. On November 4, 2025, the law firm filed arbitration demands on behalf of 1,642 claimants.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2026, the Company received pre-arbitration notices from another law firm purporting to represent 3,061 claimants who have played the Company’s games and intend to file arbitration demands alleging that the Company’s games violate state laws against gambling, that the games use unfair and deceptive practices and that the Company has been unjustly enriched. The notice demands the full restitution of all amounts expended by the claimants, restitution and disgorgement, interest, and other damages and attorneys’ fees.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December 8, 2025, Toni Morrow filed a putative class action complaint in the United States District Court for the Western District of Washington against SuperPlay Ltd., relating to the game </w:t>
      </w:r>
      <w:r>
        <w:rPr>
          <w:rFonts w:ascii="Times New Roman" w:cs="Times New Roman" w:eastAsia="Times New Roman" w:hAnsi="Times New Roman"/>
          <w:sz w:val="18"/>
          <w:szCs w:val="18"/>
          <w:i w:val="1"/>
          <w:iCs w:val="1"/>
          <w:color w:val="auto"/>
        </w:rPr>
        <w:t>Dice Dreams</w:t>
      </w:r>
      <w:r>
        <w:rPr>
          <w:rFonts w:ascii="Times New Roman" w:cs="Times New Roman" w:eastAsia="Times New Roman" w:hAnsi="Times New Roman"/>
          <w:sz w:val="18"/>
          <w:szCs w:val="18"/>
          <w:color w:val="auto"/>
        </w:rPr>
        <w:t>. The complaint alleges, among other things, that the game constitutes unlawful gambling under Washington law and includes unfair and deceptive practices in connection with in-game purchase offers and purported “sales”, and seeks, inter alia, injunctive relief and restitution.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matter is in its preliminary stages. Accordingly, the Company cannot estimate what impact, if any, it may have on its results of operations, financial condition or cash flows. The Company intends to defend this matter vigorously.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December 10, 2025, Maor Ben Shoshan filed a Motion for Certification of a class action lawsuit in the District Court in Central Lod, Israel, against Playtika Group Israel Ltd. (“PGI”), alleging misleading price presentation in connection with in-app purchases offered to Israeli users in U.S. dollars in several Playtika games, including </w:t>
      </w:r>
      <w:r>
        <w:rPr>
          <w:rFonts w:ascii="Times New Roman" w:cs="Times New Roman" w:eastAsia="Times New Roman" w:hAnsi="Times New Roman"/>
          <w:sz w:val="18"/>
          <w:szCs w:val="18"/>
          <w:i w:val="1"/>
          <w:iCs w:val="1"/>
          <w:color w:val="auto"/>
        </w:rPr>
        <w:t>Slotomania, House of Fun, Caesars Slots</w:t>
      </w:r>
      <w:r>
        <w:rPr>
          <w:rFonts w:ascii="Times New Roman" w:cs="Times New Roman" w:eastAsia="Times New Roman" w:hAnsi="Times New Roman"/>
          <w:sz w:val="18"/>
          <w:szCs w:val="18"/>
          <w:color w:val="auto"/>
        </w:rPr>
        <w:t>, and others, resulting in higher final charges due to undisclosed foreign currency conversion rates and related fees. The lawsuit seeks NIS 18,357 in personal damages to the petitioner and approximately NIS 28 million in damages to the tentative class or approximately USD $8.8 million, using the exchange rate of NIS 3.19: USD $1.00, which was the exchange rate in effect on December 31, 2025. A pre-trial hearing on the motion is scheduled for September 9, 2026, and PGI is required to submit its response to the motion within 90 days. As these claims are in preliminary stages, the Company cannot estimate what impact, if any, they may have on its results of operations, financial condition or cash flows. The Company intends to defend these claims vigorously.</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5, 2026, Daniela Beninati filed a putative class action in the Federal Court of Australia (Victoria Registry) against the Company, alleging that certain of our social casino-themed games constitute unlawful interactive gambling services under the Australian Interactive Gambling Act 2001 (Cth), and that the Company engaged in misleading or deceptive conduct and unconscionable conduct in violation of the Australian Consumer Law in connection with the marketing and monetization of such games. The complaint seeks, inter alia, declaratory and injunctive relief, restitution of amounts paid for in-game virtual currency by Australian-based users, damages, interest and costs. The matter is in its preliminary stages. Accordingly, the Company cannot estimate what impact, if any, it may have on its results of operations, financial condition or cash flows. The Company intends to defend this matter vigorously.</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March 26, 2024, the Tel Aviv 3 Tax Office (the “ITA”) issued an assessment order (the “2017 Assessment Order”) to Playtika Ltd. for tax year 2017 alleging that Playtika Ltd. should have applied a higher tax rate to certain income and denying certain tax credits. The 2017 Assessment Order claimed that, as of March 26, 2024, Playtika Ltd. was obliged to pay additional taxes (including interest and CPI linkage) for tax year 2017 in the amount of approximately NIS 72.9 million. On April 14, 2024, Playtika Ltd. filed a notice of appeal in the Tel Aviv District Court challenging the 2017 Assessment Order. On May 15, 2024, the ITA filed its statement of assessment grounds, and on December 1, 2024, Playtika Ltd. filed its statement of appeal grounds. On June 12, 2025, the ITA issued an assessment order (the “2018 Assessment Order”) for tax year 2018 in which it repeated similar arguments to those raised in the 2017 Assessment Order and also disallowed certain aircraft-related business expenses. The 2018 Assessment Order claimed that, as of June 12, 2025, Playtika Ltd. was obliged to pay additional taxes (including interest and CPI linkage) for tax year 2018 in the amount of approximately NIS 85.8 million. On June 26, 2025, Playtika Ltd. filed a notice of appeal and a case was opened in the Tel Aviv District Court. On July 14, 2025, the ITA filed its statement of assessment grounds, and on September 29, 2025, Playtika Ltd. filed its statement of appeal grounds. On December 14, 2025, the cases relating to the 2017 Assessment Order and 2018 Assessment Order were consolidated and a preliminary hearing occurred. At the preliminary hearing, the Court determined that, in light of the expected imminent issuance of assessment orders for additional years, the deadlines for filing affidavits and the evidentiary hearing date for witness examinations would be set after the arguments are filed in connection with the additional assessment orders for tax years 2019-2021. In this hearing, the ITA informed the Court that it was rescinding its claims disallowing the aircraft-related business expenses. On December 11, 2025, the ITA issued an assessment order (the “2019-2021 Assessment Order”) to Playtika Ltd. for tax years 2019-2021. In that order, the ITA repeated similar arguments to those raised in the 2017 Assessment Order and the 2018 Assessment Order and also denied foreign tax credits in the amount of approximately NIS 19 million for tax years 2019-2021. In addition, in the 2019-2021 Assessment Order, the ITA alleged that the interest rate set for intercompany loans Playtika Ltd. provided should have been higher under transfer pricing principles. The ITA also claimed a “secondary adjustment” in the form of interest on a deemed debt balance in favor of Playtika Ltd., due to the additional deemed income owed to Playtika Ltd. per the ITA’s claims. The 2019-2021 Assessment Order claimed that, as of December 11, 2025, Playtika Ltd. was obliged to pay additional taxes (including interest and CPI linkage) for tax years 2019-2021 in the amount of approximately NIS 312.9 million. On December 31, 2025, Playtika Ltd. filed a notice of appeal regarding the 2019-2021 Assessment Order and a case was opened in the Tel Aviv District Court. On January 28, 2026, the ITA filed its statement of assessment grounds. Playtika Ltd.’s current deadline for filing its appeal arguments is March 1, 2026 (subject to extensions). The total amount of the assessments under the 2017 Assessment Order, the 2018 Assessment Order and the 2019-2021 Assessment Order was approximately USD $148 million as of the respective dates of the assessment orders, using the exchange rate of NIS 3.19: USD $1.00, which was the exchange rate in effect on December 31, 2025.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spacing w:after="0" w:line="284" w:lineRule="auto"/>
        <w:rPr>
          <w:sz w:val="20"/>
          <w:szCs w:val="20"/>
          <w:color w:val="auto"/>
        </w:rPr>
      </w:pPr>
      <w:r>
        <w:rPr>
          <w:rFonts w:ascii="Times New Roman" w:cs="Times New Roman" w:eastAsia="Times New Roman" w:hAnsi="Times New Roman"/>
          <w:sz w:val="18"/>
          <w:szCs w:val="18"/>
          <w:color w:val="auto"/>
        </w:rPr>
        <w:t xml:space="preserve">remains subject to continued accrual interest and linkage of the Israeli CPI until paid. The Company intends to pursue this case vigorously. See </w:t>
      </w:r>
      <w:r>
        <w:rPr>
          <w:rFonts w:ascii="Times New Roman" w:cs="Times New Roman" w:eastAsia="Times New Roman" w:hAnsi="Times New Roman"/>
          <w:sz w:val="18"/>
          <w:szCs w:val="18"/>
          <w:i w:val="1"/>
          <w:iCs w:val="1"/>
          <w:color w:val="auto"/>
        </w:rPr>
        <w:t>Note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our audited consolidated financial statements for additional information.</w:t>
      </w:r>
    </w:p>
    <w:p>
      <w:pPr>
        <w:spacing w:after="0" w:line="200" w:lineRule="exact"/>
        <w:rPr>
          <w:sz w:val="20"/>
          <w:szCs w:val="20"/>
          <w:color w:val="auto"/>
        </w:rPr>
      </w:pPr>
    </w:p>
    <w:p>
      <w:pPr>
        <w:spacing w:after="0" w:line="22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2" w:lineRule="exact"/>
        <w:rPr>
          <w:sz w:val="20"/>
          <w:szCs w:val="20"/>
          <w:color w:val="auto"/>
        </w:rPr>
      </w:pPr>
    </w:p>
    <w:p>
      <w:pPr>
        <w:ind w:left="900" w:right="2740" w:hanging="1295"/>
        <w:spacing w:after="0" w:line="269"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ticker symbol PLTK.</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23, 2026, there were approximately 8 stockholders of record of our common stock. However, we estimate that we have a significantly greater number of stockholders because a substantial number of beneficial owners of our common stock hold their shares in street name.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paid cash dividends of $0.10 per share of our outstanding common stock payable on April 4, July 7, and October 10, 2025, and January 9, 2026 to stockholders of record as of the close of business on March 21, June 23, September 26, and December 26,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dividends are subject to market conditions and Board approval.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9, 2024, we announced that our Board of Directors authorized a stock repurchase program for up to $150 million of our common stock. Under the repurchase program, repurchases can be made using a variety of methods, which may include open market purchases, privately negotiated transactions or otherwise, all in accordance with the rules of the Securities and Exchange Commission and other applicable legal requirements. The specific timing, price and size of purchases will depend on prevailing stock prices, general economic and market conditions, and other considerations. The repurchase program does not obligate us to acquire any particular amount of common stock, and the repurchase program may be suspended or discontinued at any time at the our discretion.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common stock repurchases during the quarter ended December 31, 2025,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w:t>
            </w:r>
          </w:p>
        </w:tc>
        <w:tc>
          <w:tcPr>
            <w:tcW w:w="120" w:type="dxa"/>
            <w:vAlign w:val="bottom"/>
          </w:tcPr>
          <w:p>
            <w:pPr>
              <w:spacing w:after="0"/>
              <w:rPr>
                <w:sz w:val="16"/>
                <w:szCs w:val="16"/>
                <w:color w:val="auto"/>
              </w:rPr>
            </w:pPr>
          </w:p>
        </w:tc>
        <w:tc>
          <w:tcPr>
            <w:tcW w:w="13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4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20" w:type="dxa"/>
            <w:vAlign w:val="bottom"/>
          </w:tcPr>
          <w:p>
            <w:pPr>
              <w:spacing w:after="0"/>
              <w:rPr>
                <w:sz w:val="14"/>
                <w:szCs w:val="14"/>
                <w:color w:val="auto"/>
              </w:rPr>
            </w:pPr>
          </w:p>
        </w:tc>
        <w:tc>
          <w:tcPr>
            <w:tcW w:w="13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may yet be</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w:t>
            </w:r>
          </w:p>
        </w:tc>
        <w:tc>
          <w:tcPr>
            <w:tcW w:w="15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4"/>
                <w:szCs w:val="14"/>
                <w:color w:val="auto"/>
              </w:rPr>
            </w:pPr>
          </w:p>
        </w:tc>
        <w:tc>
          <w:tcPr>
            <w:tcW w:w="13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4"/>
                <w:szCs w:val="14"/>
                <w:color w:val="auto"/>
              </w:rPr>
            </w:pPr>
          </w:p>
        </w:tc>
        <w:tc>
          <w:tcPr>
            <w:tcW w:w="13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w:t>
            </w:r>
          </w:p>
        </w:tc>
        <w:tc>
          <w:tcPr>
            <w:tcW w:w="0" w:type="dxa"/>
            <w:vAlign w:val="bottom"/>
          </w:tcPr>
          <w:p>
            <w:pPr>
              <w:spacing w:after="0"/>
              <w:rPr>
                <w:sz w:val="1"/>
                <w:szCs w:val="1"/>
                <w:color w:val="auto"/>
              </w:rPr>
            </w:pPr>
          </w:p>
        </w:tc>
      </w:tr>
      <w:tr>
        <w:trPr>
          <w:trHeight w:val="162"/>
        </w:trPr>
        <w:tc>
          <w:tcPr>
            <w:tcW w:w="5140" w:type="dxa"/>
            <w:vAlign w:val="bottom"/>
            <w:vMerge w:val="restart"/>
          </w:tcPr>
          <w:p>
            <w:pPr>
              <w:ind w:left="23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Average price paid</w:t>
            </w:r>
          </w:p>
        </w:tc>
        <w:tc>
          <w:tcPr>
            <w:tcW w:w="15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120" w:type="dxa"/>
            <w:vAlign w:val="bottom"/>
          </w:tcPr>
          <w:p>
            <w:pPr>
              <w:spacing w:after="0"/>
              <w:rPr>
                <w:sz w:val="14"/>
                <w:szCs w:val="14"/>
                <w:color w:val="auto"/>
              </w:rPr>
            </w:pPr>
          </w:p>
        </w:tc>
        <w:tc>
          <w:tcPr>
            <w:tcW w:w="13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w w:val="98"/>
              </w:rPr>
              <w:t>programs</w:t>
            </w:r>
          </w:p>
        </w:tc>
        <w:tc>
          <w:tcPr>
            <w:tcW w:w="0" w:type="dxa"/>
            <w:vAlign w:val="bottom"/>
          </w:tcPr>
          <w:p>
            <w:pPr>
              <w:spacing w:after="0"/>
              <w:rPr>
                <w:sz w:val="1"/>
                <w:szCs w:val="1"/>
                <w:color w:val="auto"/>
              </w:rPr>
            </w:pPr>
          </w:p>
        </w:tc>
      </w:tr>
      <w:tr>
        <w:trPr>
          <w:trHeight w:val="215"/>
        </w:trPr>
        <w:tc>
          <w:tcPr>
            <w:tcW w:w="5140" w:type="dxa"/>
            <w:vAlign w:val="bottom"/>
            <w:vMerge w:val="continue"/>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Pr>
          <w:p>
            <w:pPr>
              <w:spacing w:after="0"/>
              <w:rPr>
                <w:sz w:val="18"/>
                <w:szCs w:val="18"/>
                <w:color w:val="auto"/>
              </w:rPr>
            </w:pPr>
          </w:p>
        </w:tc>
        <w:tc>
          <w:tcPr>
            <w:tcW w:w="134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0" w:type="dxa"/>
            <w:vAlign w:val="bottom"/>
          </w:tcPr>
          <w:p>
            <w:pPr>
              <w:spacing w:after="0"/>
              <w:rPr>
                <w:sz w:val="1"/>
                <w:szCs w:val="1"/>
                <w:color w:val="auto"/>
              </w:rPr>
            </w:pPr>
          </w:p>
        </w:tc>
      </w:tr>
      <w:tr>
        <w:trPr>
          <w:trHeight w:val="224"/>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$3.64</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131,417</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5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$3.96</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129,922</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5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$4.23</w:t>
            </w:r>
          </w:p>
        </w:tc>
        <w:tc>
          <w:tcPr>
            <w:tcW w:w="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128,995</w:t>
            </w:r>
          </w:p>
        </w:tc>
        <w:tc>
          <w:tcPr>
            <w:tcW w:w="0" w:type="dxa"/>
            <w:vAlign w:val="bottom"/>
          </w:tcPr>
          <w:p>
            <w:pPr>
              <w:spacing w:after="0"/>
              <w:rPr>
                <w:sz w:val="1"/>
                <w:szCs w:val="1"/>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128,995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of our common stock with the cumulative total return of the S&amp;P 500 Index and the NASDAQ Composite Index for the period between January 14, 2021 and December 31, 2025. The graph assumes that $100 was invested in our common stock at the close of market on January 14, 2021 and that any dividends were reinvested. 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760720" cy="4800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0720" cy="4800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information furnished under the heading “</w:t>
      </w:r>
      <w:r>
        <w:rPr>
          <w:rFonts w:ascii="Times New Roman" w:cs="Times New Roman" w:eastAsia="Times New Roman" w:hAnsi="Times New Roman"/>
          <w:sz w:val="18"/>
          <w:szCs w:val="18"/>
          <w:i w:val="1"/>
          <w:iCs w:val="1"/>
          <w:color w:val="auto"/>
        </w:rPr>
        <w:t>Stock Performance Graph</w:t>
      </w:r>
      <w:r>
        <w:rPr>
          <w:rFonts w:ascii="Times New Roman" w:cs="Times New Roman" w:eastAsia="Times New Roman" w:hAnsi="Times New Roman"/>
          <w:sz w:val="18"/>
          <w:szCs w:val="18"/>
          <w:color w:val="auto"/>
        </w:rPr>
        <w:t>”, including the performance graph,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9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consolidated financial statements and the related notes included elsewhere in this annual report on Form 10-K.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on Form 10-K, particularly under the “Risk Factors” and “Special Note Regarding Forward-Looking Statements” sections.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world’s leading developers of mobile games creating fun, innovative experiences that entertain and engage our users. We have built best-in-class live game operations services and proprietary technology tools to support our portfolio of games which enable us to drive strong user engagement and monetization. Our games are free-to-play, and we are experts in providing novel, curated in-game content and offers to our users, at optimal points in their game journeys. Our players love our games because they are fun, creative, engaging, and kept fresh through a release of new features that are customized for different player segments. As a result, we have retained paying users over long periods of time.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factors that affect the performance of our business, and the comparability of our results from period to period, including:</w:t>
      </w:r>
    </w:p>
    <w:p>
      <w:pPr>
        <w:spacing w:after="0" w:line="250" w:lineRule="exact"/>
        <w:rPr>
          <w:sz w:val="20"/>
          <w:szCs w:val="20"/>
          <w:color w:val="auto"/>
        </w:rPr>
      </w:pPr>
    </w:p>
    <w:p>
      <w:pPr>
        <w:jc w:val="both"/>
        <w:ind w:left="660" w:hanging="652"/>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of players into paying users and ongoing monetization. </w:t>
      </w:r>
      <w:r>
        <w:rPr>
          <w:rFonts w:ascii="Times New Roman" w:cs="Times New Roman" w:eastAsia="Times New Roman" w:hAnsi="Times New Roman"/>
          <w:sz w:val="18"/>
          <w:szCs w:val="18"/>
          <w:color w:val="auto"/>
        </w:rPr>
        <w:t>While our games are free-to-play, we generate substantially all of our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players’ purchases of in-game virtual items. Our financial performance is dependent, in part, on our ability to convert active players into paying players and sustainably grow user spend over the long term. Our players’ willingness to consistently make in-app purchases is impacted by our ability to deliver engaging content and personalized user experiences.</w:t>
      </w:r>
    </w:p>
    <w:p>
      <w:pPr>
        <w:spacing w:after="0" w:line="206"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 of games and new technology</w:t>
      </w:r>
      <w:r>
        <w:rPr>
          <w:rFonts w:ascii="Times New Roman" w:cs="Times New Roman" w:eastAsia="Times New Roman" w:hAnsi="Times New Roman"/>
          <w:sz w:val="18"/>
          <w:szCs w:val="18"/>
          <w:color w:val="auto"/>
        </w:rPr>
        <w:t>. We have grown and will continue to evaluate opportunities to further expand our business by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games and game studios that have broad appeal and potential for scalable leadership in our core genres, enhance our growth profile, or that we believe can benefit from our live operations services, our design experience, and our scale. When we acquire games and studios, we focus on providing existing audiences with proven content and applying live operations to create a better game experience for users.</w:t>
      </w:r>
    </w:p>
    <w:p>
      <w:pPr>
        <w:spacing w:after="0" w:line="206"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of new games and release of new content, offers, and features</w:t>
      </w:r>
      <w:r>
        <w:rPr>
          <w:rFonts w:ascii="Times New Roman" w:cs="Times New Roman" w:eastAsia="Times New Roman" w:hAnsi="Times New Roman"/>
          <w:sz w:val="18"/>
          <w:szCs w:val="18"/>
          <w:color w:val="auto"/>
        </w:rPr>
        <w:t>. Our key revenue drivers include improving the content, offers,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in our existing games and the acquisition of new games. In order to enhance the content, offers, and features in our existing games and to develop or acquire new games, we must invest a significant amount of our technological and creative resources, ensuring that we support an effective cadence of novel content creation that drives conversion and continued monetization. These expenditures generally occur months in advance of the release of new content or the launch or acquisition of a new game.</w:t>
      </w:r>
    </w:p>
    <w:p>
      <w:pPr>
        <w:spacing w:after="0" w:line="210"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User acquisition</w:t>
      </w:r>
      <w:r>
        <w:rPr>
          <w:rFonts w:ascii="Times New Roman" w:cs="Times New Roman" w:eastAsia="Times New Roman" w:hAnsi="Times New Roman"/>
          <w:sz w:val="18"/>
          <w:szCs w:val="18"/>
          <w:color w:val="auto"/>
        </w:rPr>
        <w:t>. We believe that we will be able to continue to grow our user base, including through traditional marketing and advertising,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informal marketing campaigns, and cross-promoting between our games, including new games we develop or acquire. We intend to continue to seek new opportunities to enhance and refine these marketing efforts to acquire new users, including identifying potential technologies to enhance our marketing and advertising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primarily derive revenue from the sale of virtual items associated with online games.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distribute our games to the end customer through various web and mobile platforms, such as Apple, Google and other web and mobile platforms plus our own Direct-to-Consumer platforms. Through these platforms, users can download our free-to-play games and can purchase virtual items to enhance their game-playing experience. Players can purchase virtual items through various widely accepted payment methods offered in the games. Payments from players for virtual items are non-refundable and relate to non-cancellable contracts that specify our obligations and cannot be redeemed for cash nor exchanged for anything other than virtual items within our games.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games are played on various third-party platforms that allow customers to choose to make purchases through our Direct-to-Consumer platform or through the third-party platform. If paid through the third-part platform, the platform providers collect proceeds from our customers and pay us an amount after deducting platform fees. For purchases made through both the third-party and Direct-to-Consumer platforms, we are primarily responsible for fulfilling the virtual items, have the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includes payment processing fees, customer support, hosting fees, royalties and depreciation and amortization expenses associated with assets directly involved in the generation of revenues, including servers and internal use software. Payment processing fees and other related expenses for in-app purchases made through our Direct-to-Consumer platforms are typically 3-4%. If our players choose to pay through a third-party platform, platform providers (such as Apple and Google) charge a transactional payment processing fee of 30% to accept payments from our players for such purchases. We generally expect cost of revenue to fluctuate proportionately with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consists of salaries, bonuses, benefits, other compensation, including stock-based compensation and allocated overhead, related to engineering, research, and development. In addition, research and development expenses include depreciation and amortization expenses associated with assets associated with our research and development efforts. We expect that research and development expenses specifically associated with new game development will fluctuate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consists of costs related to advertising and user acquisition, including costs related to salaries, bonuses, benefits, and other compensation, including stock-based compensation and allocated overhead. In addition, sales and marketing expenses include depreciation and amortization expenses associated with assets related to our sales and marketing efforts. We plan to continue to invest in sales and marketing to retain and acquire users. However, sales and marketing expenses may fluctuate as a percentage of revenues depending on the timing and efficiency of our marketing efforts.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bonuses, benefits, and other compensation, including stock-based compensation, for all our corporate support functional areas, including our senior leadership. In addition, general and administrative expenses include outsourced professional services such as consulting, legal and accounting services, taxes and dues, insurance premiums, and costs associated with maintaining our property and infrastructure. General and administrative expenses also include depreciation and amortization expenses associated with assets not directly attributable to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expense categories above. We also record adjustments to contingent consideration payable recorded after the acquisition date, and legal settlement expenses, as components of general and administrative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charges in 2025 reflect impairment of internal use software and an operating lease right-of-use asset, as well as the impairment of a certain investment in unconsolidated affiliate based upon poor performance of that investment leading to significant uncertainty regard its future viability.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Impairment charges in 2024 reflect impairments related to the Redecor game title based upon lower than expected performance of that title, and related to certain investments in unconsolidated affiliates based upon poor performance of those investments leading to significant uncertainty regarding their future viability. We hold certain equity investments in various unconsolidated entities that fall within the scope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 permitted within that guidance, we have elected to account for these investments at cost less impairment, adjusted for changes in fair value from observable transactions for identical or similar investments of the same issuer as of the respective transaction dates. Impairment charges in 2023 reflect charges recorded for the excess of the carrying amount over estimated fair value of our identifiable intangible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net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interest expense includes interest incurred under our Credit Agreement and amortization of deferred financing costs. We expect to continue to incur interest expense under our Credit Agreement, although such interest expense will fluctuate based upon the underlying variable interest rates. We entered into multiple interest rate swap agreements in March 2021 and in January 2023, accumulating to a total notional value of $1.0 billion, reducing our overall exposure to variable interest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cash, cash equivalents and short-term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adjustments, net, include gains and losses resulting from remeasurement of certain non-USD denominated balance sheet items.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income taxes consists of current income taxes in the various jurisdictions where we are subject to taxation, primarily the United States, the United Kingdom, Israel, Germany, and Austria,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can fluctuate based on various factors, including our financial results and the geographic mix to which they relate, the applicability of special tax regimes, changes in our business or operations, examination-related developments and uncertain tax positions, and changes in tax law.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net income as revenue minus cost of revenues, research and development, sales and marketing, general and administrative expenses, interest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show the results of our key financial and operating metrics for the periods indicated.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measure the performance of our business by using several key financial metrics, including revenue and operating income, and operating metrics, including Daily Active Users, Average Revenue per Daily Active User, Monthly Active Users, Daily Paying Users, and Average Daily Payer Conversion. These operating metrics help our management to understand and measure the engagement levels of our players, the size of our audience and our reach. See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for additional information of these measures.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percentages, Average DPUs, and ARPDAU)</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2,549.3</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2,567.0</w:t>
            </w: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cost and expenses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2,760.5</w:t>
            </w:r>
          </w:p>
        </w:tc>
        <w:tc>
          <w:tcPr>
            <w:tcW w:w="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2,157.7</w:t>
            </w:r>
          </w:p>
        </w:tc>
        <w:tc>
          <w:tcPr>
            <w:tcW w:w="100" w:type="dxa"/>
            <w:vAlign w:val="bottom"/>
          </w:tcPr>
          <w:p>
            <w:pPr>
              <w:spacing w:after="0"/>
              <w:rPr>
                <w:sz w:val="19"/>
                <w:szCs w:val="19"/>
                <w:color w:val="auto"/>
              </w:rPr>
            </w:pPr>
          </w:p>
        </w:tc>
        <w:tc>
          <w:tcPr>
            <w:tcW w:w="4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2,065.4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9"/>
                <w:szCs w:val="19"/>
                <w:color w:val="auto"/>
              </w:rPr>
            </w:pPr>
          </w:p>
        </w:tc>
        <w:tc>
          <w:tcPr>
            <w:tcW w:w="4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4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832.2</w:t>
            </w:r>
          </w:p>
        </w:tc>
      </w:tr>
      <w:tr>
        <w:trPr>
          <w:trHeight w:val="256"/>
        </w:trPr>
        <w:tc>
          <w:tcPr>
            <w:tcW w:w="6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Non-financial performance metrics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DAUs</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Average DPUs (in thousands)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Daily Payer Conversion</w:t>
            </w:r>
          </w:p>
        </w:tc>
        <w:tc>
          <w:tcPr>
            <w:tcW w:w="5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ARPDAU</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0.81</w:t>
            </w:r>
          </w:p>
        </w:tc>
      </w:tr>
      <w:tr>
        <w:trPr>
          <w:trHeight w:val="234"/>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Average MAUs</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r>
      <w:tr>
        <w:trPr>
          <w:trHeight w:val="549"/>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2025 versus the year ended December 31, 2024</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6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earned through third-party platforms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earned through Direct-to-Consumer platforms</w:t>
            </w: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r>
      <w:tr>
        <w:trPr>
          <w:trHeight w:val="248"/>
        </w:trPr>
        <w:tc>
          <w:tcPr>
            <w:tcW w:w="6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2,755.4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758.5</w:t>
            </w:r>
          </w:p>
        </w:tc>
        <w:tc>
          <w:tcPr>
            <w:tcW w:w="4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3"/>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3"/>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2,157.7</w:t>
            </w:r>
          </w:p>
        </w:tc>
      </w:tr>
      <w:tr>
        <w:trPr>
          <w:trHeight w:val="20"/>
        </w:trPr>
        <w:tc>
          <w:tcPr>
            <w:tcW w:w="6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Revenues for the year ended December 31, 2025 increased by $206.1 million when compared with 2024, primarily due to a full year of revenues from our 2024 acquisition of SuperPlay Ltd and growth in several casual games. The increases were partially offset primarily by a decline in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for the year ended December 31, 2025 increased by $66.4 million when compared with 2024. The increase was primarily driven by a $20.5 million increase in platform fees due to higher revenues, partially offset by lower fees paid through Direct-to-Consumer platform increased sales, a $26.8 million increase in depreciation and amortization related to a full year of expense for SuperPlay, and an $18.0 million increase in royalty expense related to SuperPlay.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2025 increased by $23.7 million when compared with the year ended December 31, 2024. Research and development expenses primarily increased due to a full year of expenses for our 2024 acquisition of SuperPlay including compensation and associated costs, outsourced services and server hosting costs, offset by decreases in compensation and associated costs due to workforce reduction and in stock-based compensation as awards became fully vested.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year ended December 31, 2025 increased by $244.8 million when compared with the year ended December 31, 2024. The increase was primarily due to a net increase in media expenses of approximately $197.0 million relating to our 2024 acquisition of SuperPlay, offset by decreases in other gaming titles. Depreciation and amortization expense also increased approximately $39.4 million primarily related to a full year of expense for our 2024 acquisition of SuperPlay.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2025 increased by $330.4 million when compared with the year ended December 31, 2024. The increase is primarily due to a net adjustment $398.6 million to contingent consideration related to the SuperPlay and InnPlay Labs acquisitions. The increase was offset by a decrease of approximately $74.5 million in appreciation and retention expense related to the conclusion of the Retention Plan and a decrease in transaction related professional fees primarily related to the SuperPlay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recorded impairment charges of $6.4 million related to certain equity investments due to poor performance leading to significant uncertainty regarding their future viability, impairment of internal use software and impairment of an operating lease right-of-use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2024 versus the year ended December 31, 2023</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9"/>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earned through third-party platforms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earned through Direct-to-Consumer platforms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2,065.4</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year ended December 31, 2024 decreased by $17.7 million when compared with the year ended December 31, 2023. Social casino revenues decreased approximately $120 million that, along with revenue decreases in several of our casual games, were largely due to reduced monetization. These revenue declines were partially offset by our acquisition of SuperPlay Ltd in 2024 and a full year of revenues from our 2023 acquisitions of Youda Games and InnPlay Labs. The increase in revenues generated from Direct-to-Consumer platforms as a percentage of total revenues resulted from marketing activities for the games offered through these platforms.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2024 decreased by $26.4 million when compared with the year ended December 31, 2023. The decrease in cost of revenue includes an approximate $23.8 million decrease in platform fees associated with reduced revenues and a greater percentage of revenue generated from our Direct-to-Consumer platforms, as well as a $2.4 million decrease in site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2024 decreased by $3.4 million when compared with the year ended December 31, 2023. Research and development expenses were primarily impacted by a net decrease of approximate $22.4 million in payroll and associated payroll costs, including stock based compensation, offset by merit increases, a shift of our workforce composition towards higher-cost locations, and an increase in the costs incurred in connection with severance. In addition, research and development related outsourcing costs increased from 2023 to 2024 by approximately $9.3 million and the amount of expense capitalized increased by approximately $6.3 million for new and continuing projects.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Sales and marketing expenses for the year ended December 31, 2024 increased by $119.3 million when compared with the year ended December 31, 2023. The increase in sales and marketing expenses was primarily due to increased media expenses of approximately $112.1 million relating predominately to our 2024 acquisition of SuperPlay, a full year of expenses for our 2023 acquisition of Youda Games, and increased spend in our </w:t>
      </w:r>
      <w:r>
        <w:rPr>
          <w:rFonts w:ascii="Times New Roman" w:cs="Times New Roman" w:eastAsia="Times New Roman" w:hAnsi="Times New Roman"/>
          <w:sz w:val="18"/>
          <w:szCs w:val="18"/>
          <w:i w:val="1"/>
          <w:iCs w:val="1"/>
          <w:color w:val="auto"/>
        </w:rPr>
        <w:t>Bingo Blitz</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Slotomania</w:t>
      </w:r>
      <w:r>
        <w:rPr>
          <w:rFonts w:ascii="Times New Roman" w:cs="Times New Roman" w:eastAsia="Times New Roman" w:hAnsi="Times New Roman"/>
          <w:sz w:val="18"/>
          <w:szCs w:val="18"/>
          <w:color w:val="auto"/>
        </w:rPr>
        <w:t xml:space="preserve"> games. Depreciation and amortization expense also increased approximately $9.4 million, which was partially offset by a net decrease in compensation and associated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2024 decreased by $14.8 million when compared with the year ended December 31, 2023. The decrease is primarily due to a net $11.1 million adjustment to contingent consideration related to the SuperPlay, InnPlay Labs, and Youda Games acquisitions, as well as a decrease of approximately $14.2 million in compensation and associated costs. These decreases were offset by an increase of approximately $13.4 million of transaction costs primarily related to the SuperPlay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recorded an impairment charge of $29.9 million related to the Redecor game title based upon continued lower than expected performance of that title, and an impairment charge of $36.3 million related to certain investments in unconsolidated affiliates based upon poor performance of those investments leading to significant uncertainty regarding their future viability.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Factors Affecting Net Income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6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2025, 2024 and 2023 is primarily related to amounts borrowed under the Credit Facilities and senior notes.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in 2025 when compared with 2024 is primarily related to lower variable rate debt balance and lower average interest rates paid on that balance. The increase in interest expense in 2024 when compared to 2023 is primarily due to slightly higher average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in 2025, 2024 and 2023 is primarily related to interest earned on cash, cash equivalents and short-term investments.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interest income for 2025 when compared to 2024 is driven primarily by lower average balances held in interest bearing cash, cash equivalents and short-term investments throughout 2025, primarily reflecting the use of cash in the SuperPlay acquisition. The increase in interest income for 2024 when compared to 2023 is primarily due to higher interest rates, more active investments of excess cash in income-bearing investments, and from interest earned on excess taxes paid in Israel in prior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provision for income tax was $33.5 million for the year ended December 31, 2025 and the effective income tax rate was (19.3)%. The difference between the effective income tax rate and the U.S. statutory tax rate is primarily due to adverse impacts of certain items including changes in valuation of Contingent Consideration and GILTI inclusion. The full rate reconciliation is available in </w:t>
      </w:r>
      <w:r>
        <w:rPr>
          <w:rFonts w:ascii="Times New Roman" w:cs="Times New Roman" w:eastAsia="Times New Roman" w:hAnsi="Times New Roman"/>
          <w:sz w:val="18"/>
          <w:szCs w:val="18"/>
          <w:i w:val="1"/>
          <w:iCs w:val="1"/>
          <w:color w:val="auto"/>
        </w:rPr>
        <w:t>Note 22,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provision for income tax was $118.3 million for the year ended December 31, 2024 and the effective income tax rate was 42.2%. The difference between the effective income tax rate and the U.S. statutory tax rate was primarily due to adverse impacts of certain items including tax rates in foreign jurisdictions and the relative amounts of income earned in those jurisdictions, unrecognized tax benefits, GILTI inclusion, and valuation allowances. These adverse impacts are partially offset by the favorable impact of the Israeli Preferred Technology Enterprise regime. The full rate reconciliation is available in </w:t>
      </w:r>
      <w:r>
        <w:rPr>
          <w:rFonts w:ascii="Times New Roman" w:cs="Times New Roman" w:eastAsia="Times New Roman" w:hAnsi="Times New Roman"/>
          <w:sz w:val="18"/>
          <w:szCs w:val="18"/>
          <w:i w:val="1"/>
          <w:iCs w:val="1"/>
          <w:color w:val="auto"/>
        </w:rPr>
        <w:t>Note 22, Income Taxes.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provision for income tax was $157.1 million for the year ended December 31, 2023, and the effective income tax rate was 40.1%. The difference between the effective income tax rate and the U.S. statutory tax rate was primarily due to adverse impacts of certain items such as tax rates in foreign jurisdictions and the relative amounts of income earned in those jurisdictions, unrecognized tax benefits, and GILTI inclusion. These adverse impacts are partially offset by the recurring favorable impact of the Israeli Preferred Technology Enterprises regime. The full rate reconciliation is available in </w:t>
      </w:r>
      <w:r>
        <w:rPr>
          <w:rFonts w:ascii="Times New Roman" w:cs="Times New Roman" w:eastAsia="Times New Roman" w:hAnsi="Times New Roman"/>
          <w:sz w:val="18"/>
          <w:szCs w:val="18"/>
          <w:i w:val="1"/>
          <w:iCs w:val="1"/>
          <w:color w:val="auto"/>
        </w:rPr>
        <w:t>Note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aggregating the components of our results of operations above, net income for the year ended December 31, 2025 decreased by $368.6 million when compared with 2024. Net income for the year ended December 31, 2024 decreased by $72.8 million when compared to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Below is a reconciliation of Adjusted EBITDA to net income, the closest GAAP financial measure. Our Credit Agreement defines Adjusted EBITDA as net income before (i) interest expense, (ii) interest income, (iii) provision for income taxes, (iv) depreciation and amortization expense, (v) impairment charges, (vi) stock-based compensation, (vii) contingent consideration, (viii) acquisition and related expenses, and (ix) certain other items. We calculate Adjusted EBITDA Margin as Adjusted EBITDA divided by revenues.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as calculated herein may not be comparable to similarly titled measures reported by other companies within the industry and are not determined in accordance with GAAP. Our presentation of Adjusted EBITDA and Adjusted EBITDA Margin should not be construed as an inference that our future results will be unaffected by unusual or unexpected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6" w:name="page77"/>
    <w:bookmarkEnd w:id="7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235.0</w:t>
            </w:r>
          </w:p>
        </w:tc>
      </w:tr>
      <w:tr>
        <w:trPr>
          <w:trHeight w:val="230"/>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157.1</w:t>
            </w:r>
          </w:p>
        </w:tc>
      </w:tr>
      <w:tr>
        <w:trPr>
          <w:trHeight w:val="229"/>
        </w:trPr>
        <w:tc>
          <w:tcPr>
            <w:tcW w:w="6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and other,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109.5</w:t>
            </w:r>
          </w:p>
        </w:tc>
      </w:tr>
      <w:tr>
        <w:trPr>
          <w:trHeight w:val="230"/>
        </w:trPr>
        <w:tc>
          <w:tcPr>
            <w:tcW w:w="6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659.6</w:t>
            </w:r>
          </w:p>
        </w:tc>
      </w:tr>
      <w:tr>
        <w:trPr>
          <w:trHeight w:val="230"/>
        </w:trPr>
        <w:tc>
          <w:tcPr>
            <w:tcW w:w="638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110.0</w:t>
            </w:r>
          </w:p>
        </w:tc>
      </w:tr>
      <w:tr>
        <w:trPr>
          <w:trHeight w:val="229"/>
        </w:trPr>
        <w:tc>
          <w:tcPr>
            <w:tcW w:w="6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estimated value of contingent consideration</w:t>
            </w: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38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Acquisition and related expenses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638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832.2</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margin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9.2 %</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2" w:lineRule="exact"/>
        <w:rPr>
          <w:sz w:val="20"/>
          <w:szCs w:val="20"/>
          <w:color w:val="auto"/>
        </w:rPr>
      </w:pPr>
    </w:p>
    <w:p>
      <w:pPr>
        <w:ind w:left="300" w:hanging="292"/>
        <w:spacing w:after="0"/>
        <w:tabs>
          <w:tab w:leader="none" w:pos="30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stock-based compensation expense related to the issuance of equity awards to our employees and Directors.</w:t>
      </w:r>
    </w:p>
    <w:p>
      <w:pPr>
        <w:ind w:left="300" w:hanging="292"/>
        <w:spacing w:after="0" w:line="187" w:lineRule="auto"/>
        <w:tabs>
          <w:tab w:leader="none" w:pos="30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costs incurred to evaluate and pursue acquisition activities as well as costs incurred by the Company in connection with the evaluation of strategic alternatives.</w:t>
      </w:r>
    </w:p>
    <w:p>
      <w:pPr>
        <w:ind w:left="340" w:hanging="332"/>
        <w:spacing w:after="0" w:line="191" w:lineRule="auto"/>
        <w:tabs>
          <w:tab w:leader="none" w:pos="34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for the year ended December 31, 2025 consists of $9.8 million and $2.0 million incurred by the Company related to restructuring activities and severance,</w:t>
      </w:r>
    </w:p>
    <w:p>
      <w:pPr>
        <w:spacing w:after="0" w:line="10"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6"/>
          <w:szCs w:val="16"/>
          <w:color w:val="auto"/>
        </w:rPr>
        <w:t>respectively, and $1.1 million of reimbursement of a tax assessment paid under protest in 2023. The amount for the year ended December 31, 2024 consists primarily of $14.5 million and $6.9 million incurred by the Company related to severance and restructuring activities, respectively. The amount for the year ended December 31, 2023 consists primarily of $1.8 million incurred by the Company for severance and $1.0 million for a tax assessment paid under protest.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social or mobile games that meet our strategic and return on investment criteria. Capital needs are evaluated on an individual opportunity basis and may require significant capital commitments.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currently available unrestricted cash and cash equivalents, short-term highly liquid investments, and borrowings under our Credit Facility and Revolver. Our cash and cash equivalents and short-term investments totaled $820.2 million and $565.8 million at December 31, 2025 and December 31, 2024, respectively. On April 23, 2025, the Company entered into a Fourth Amendment (the “Fourth Amendment”) to the Credit Agreement which, among other things, decreased the aggregate principal amount of the Revolving Credit Facility from $600 million to $550 million. On February 16, 2026, the Company entered into a Fifth Amendment (the “Fifth Amendment”) to the Credit Agreement which, among other things, extended the maturity of the Revolving Credit Facility to March 6, 2027.</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$550 million and $600 million, respectively, in additional borrowing capacity pursuant to our Revolving Credit Facility. Payments of short-term debt obligations, dividends to shareholders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are expected to be made from cash on the balance sheet and operating cash flows. Long-term obligations are expected to be paid through operating cash flows, refinancing of our existing credit facilities or additional debt issuances.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restricted cash totaled $1.5 million and $1.9 million at December 31, 2025 and December 31, 2024, respectively. Restricted cash primarily consists of deposits to secure obligations under our operating lease agreements and to secure company-issued credit cards. The classification of restricted cash as current and long-term is dependent upon the intended use of each particular reserve.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and 2025, our Board of Directors elected to declare quarterly cash dividends of $0.10 per share of the Company’s outstanding common stock. We will maintain a focus on financial discipline through a balanced approach of evaluation of M&amp;A opportunities and stockholder dividends while maintaining adequate capital requirements for ongoing operations. The Board will continue to evaluate the economic environment, our cash needs, optimal uses of cash, and other applicable factors, and may elect to make changes to the payment of dividends (if any) in future periods.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fund our operations, pay our debt obligations and fund planned capital expenditures depends, in part, upon economic and other factors that are beyond our control, and disruptions in capital markets could impact our ability to secure additional funds through financing activities. We believe that our cash and cash equivalents balance, short-term investments, restricted cash, and cash flows from operations will be sufficient to meet our normal operating requirements during the next 12 months and the foreseeable future and to fund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our cash flows for the periods indicated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provided by operating activities for the year ended December 31, 2025 increased $77.6 million when compared with the year ended December 31, 2024. Net cash flows provided by operating activities for the year ended December 31, 2024 decreased $25.5 million when compared with the year ended December 31,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 provided by operating activities for each period primarily consisted of net income generated during the period, exclusive of non-cash expenses such as depreciation, amortization and stock-based compensation, and changes in the fair value of contingent consideration payable, with changes in working capital impacted by the payment of annual and incentive bonuses during the first quarter and other normal timing differences.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for the year ended December 31, 2025 decreased $560.4 million when compared to the year ended December 31, 2024 mainly due to $686.9 million of consideration paid (net of cash acquired) for the 2024 acquisition of SuperPlay Ltd offset by an additional $79.6 million paid for short-term investments in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for the year ended December 31, 2024 increased $541.9 million when compared to the year ended December 31, 2023, mainly due to $686.9 million of consideration paid (net of cash acquired) for the 2024 acquisitions of SuperPlay Ltd offset by $159.6 million for the 2023 acquisitions of InnPlay Labs, and Youda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flows used in financing activities for the year ended December 31, 2025, was $230.0 million primarily related to dividends paid, earnout payments related to acquisitions, the repurchase of shares and repayments on bank borrowings. Net cash flows used in financing activities of $167.1 million for the year ended December 31, 2024 primarily related to dividends paid, earnout payments related to acquisitions, and repayments on bank borrowings. Net cash flows used in financing activities of $18.2 million for the year ended December 31, 2023, primarily related to repayments on bank borrowings.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10, 2019, we entered into $2,750 million of Credit Facilities, consisting of a $250 million Revolving Credit Facility, and a $2,500 million first lien term loan (the “Old Term Loan”). The Credit Facilities were provided pursuant to the Credit Agreement, dated as of December 10, 2019, by and among Playtika, the lenders party thereto, and UBS AG, Stamford Branch (as successor in interest to Credit Suisse, AG, Cayman Islands Branch), as administrative agent (in such capacity, the "Administrative Agent") and collateral agent (in such capacity, the "Collateral Agent"). Proceeds borrowed under the Credit Facilities on the closing date were used to pay off the outstanding balance on our prior debt facility. On June 15, 2020, we increased the capacity of the Revolving Credit Facility to $350 million. On January 15, 2021, we increased the borrowing capacity of the Revolving Credit Facility from $350 million to $550 million.</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2021, the Credit Agreement was amended pursuant to an Incremental Assumption Agreement No. 3 and Second Amendment to Credit Agreement (the “Second Amendment”).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Amendment, among other things, effected a refinancing of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19, 2023, the Company amended the Credit Agreement pursuant to a Third Amendment to Credit Agreement (the “Third Amendment”). The Third Amendment amended the Credit Agreement to bear interest or incur fees and other amounts denominated in Dollars to be based on the Adjusted Term Secured Overnight Financing Rate (“SOFR”) plus an applicable spread adjustment, rather than the previously permitted Adjusted Eurocurrency Rate, starting in the third quarter of 2023. The amendment did not have an impact on the Company’s consolidated financial statements or the effectiveness of the Company’s interest rate swap agreements.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23, 2025, the Company entered into a Fourth Amendment (the “Fourth Amendment”) to the Credit Agreement defined in Note 13, Debt, which, among other things, (a) amended the Pricing Grid (as defined in the Credit Agreement) for the Company’s revolving credit facility under the Credit Agreement (the “Revolving Credit Facility”), and (b) decreased the aggregate principal amount of the Revolving Credit Facility from $600 million to $550 million. The Fourth Amendment was also intended to extend the maturity of the Revolving Credit Facility to September 11, 2027, subject to the Credit Agreement being filed and registered with the National Development and Reform Commission of the People’s Republic of China (the “NDRC”) unless the NDRC states in writing that such registration is not required. This filing requirement with the NDRC is required of the Company’s controlling shareholder due to the fact that the controlling shareholder is controlled by a citizen of the People’s Republic of China. On December 9, 2025, the Company’s controlling shareholder elected to withdraw its filing of the Credit Agreement with the NDRC and, as a result, the maturity of the Revolving Credit Facility was not extended under the Fourth Amendment. On February 16, 2026, the Company entered into a Fifth Amendment (the “Fifth Amendment”) to the Credit Agreement which, among other things, extended the maturity of the Revolving Credit Facility to March 6, 2027.</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March 11, 2021, we issued $600.0 million aggregate principal amount of our 4.250% senior notes due 2029 (the “Notes”). The Notes mature on March 15, 2029. Interest on the Notes will accrue at a rate of 4.250% per annum. Interest on the Notes is payable semi-annually in cash in arrears on March 15 and September 15 of each year, commencing on September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Significant terms of the Credit Facilities, the New Term Loan and the Notes, including balances outstanding, interest and fees, mandatory and voluntary prepayment requirements, collateral and guarantors and restrictive covenants are detailed in </w:t>
      </w:r>
      <w:r>
        <w:rPr>
          <w:rFonts w:ascii="Times New Roman" w:cs="Times New Roman" w:eastAsia="Times New Roman" w:hAnsi="Times New Roman"/>
          <w:sz w:val="18"/>
          <w:szCs w:val="18"/>
          <w:i w:val="1"/>
          <w:iCs w:val="1"/>
          <w:color w:val="auto"/>
        </w:rPr>
        <w:t>Note 13, Debt</w:t>
      </w:r>
      <w:r>
        <w:rPr>
          <w:rFonts w:ascii="Times New Roman" w:cs="Times New Roman" w:eastAsia="Times New Roman" w:hAnsi="Times New Roman"/>
          <w:sz w:val="18"/>
          <w:szCs w:val="18"/>
          <w:color w:val="auto"/>
        </w:rPr>
        <w:t>, to the financial statements included elsewhere in this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prepare our financial statements in conformity with U.S. GAAP.</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accounting policies require that we apply significant judgment in determining the appropriate assumptions for calculating financial estimates. By their nature, these judgments will be subject to an inherent degree of uncertainty. Our judgments are based upon our management’s historical experience, terms of existing contracts, observance of trends in the industry, information provided by our customers and information available from other outside sources, as appropriate.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accounting estimates to be critical accounting policies when:</w:t>
      </w:r>
    </w:p>
    <w:p>
      <w:pPr>
        <w:spacing w:after="0" w:line="25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involve matters that are highly uncertain at the time the accounting estimates are made;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estimates or changes to estimates could have a material impact on the reported financial positions, changes in financial position or results of operations.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When more than one accounting principle, or method of its application, is generally accepted, we select the principle or method that we consider to be the most appropriate when given the specific circumstances. Application of these accounting principles requires us to make estimates about the future resolution of existing uncertainties. Due to the inherent uncertainty involving estimates, actual results reported in the future may differ from such estimates. For additional information on our significant accounting policies, please refer to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xml:space="preserve"> to the financial statements included elsewhere in this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and related fair value measurements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apply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allocate the fair value of purchase consideration to the tangible assets acquired, liabilities assumed or incurred,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or incurred, management makes significant estimates and assumptions, especially with respect to intangible assets.</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estimates in valuing certain intangible assets include, but are not limited to, future expected cash flows from acquired technology, acquired trademarks and the acquired user base from a market participant perspective, useful lives and discount rates.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apply the provisions of ASU 2021-08,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xml:space="preserve">(“ASU 2021-08”) which requires that we recognize and measure contract assets and contract liabilities acquired in a business combination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that at the acquisition date, we account for related revenue contracts in accordance with ASC 606 as if we had originated the contracts.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business combinations include an earnout payment or contingent consideration that embodies an unconditional obligation for us to transfer assets on a specific agreed-upon date, that liability is measured at estimated fair value as of the acquisition date and as of each reporting date until the obligation is resolved. Significant estimates in valuing such liabilities include, but are not limited to, future financial models and discount rates.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Management’s estimates of fair value are based upon assumptions believed to be reasonable, but which are inherently uncertain and unpredictable and, as a result, actual results may differ from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long-lived assets to be held or used, including right-of-use (“ROU”) assets, and identifiable intangible assets that are subject to amortization are tested for impairment whenever events or changes in circumstances indicate that the carrying amount of an asset may not be recoverable, in accordance with ASC 360,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xml:space="preserve"> We recognize impairment based on the difference between the estimated fair value of the asset and its carrying value. Fair value is generally estimated based on either quoted market prices, if available, or a discounted cash flow analysis.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determination that the carrying value of a long-lived asset may not be recoverable based upon a comparison of aggregate undiscounted projected future cash flows to the carrying amount of the asset, an impairment charge is recorded for the excess of the carrying amount over estimated fair value. There is inherent uncertainty in our forecasts and projections used in any impairment analysis, and different assumptions and estimates could have lead to different impairment test results, and those results could have been materially different.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cash flow projections for use in any impairment indicators test or fair value analysis requires management to make critical estimates, judgments and assumptions with regards to estimated future cash flows, as they are, by their nature, subjective and actual results may differ materially from such estimates. Cash flow estimates are unpredictable and inherently uncertain, since they are based on the current regulatory, political and economic climates, recent operating information and projections. Such estimates could be negatively impacted by changes in federal, state or local regulations, economic downturns, competition, events affecting various forms of travel and access to our properties, and other factors. If our estimates of future cash flows are not met or if there are changes in significant assumptions and judgments used in the estimation process, we may have to record impairment charges in the future. Further, unless an asset is entirely impaired, future estimates, judgments and assumptions may result in additional impairments in a later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primarily derive revenues from the sale of virtual items associated with online games. We distribute our games to the end customer through various web and mobile platforms such as Apple, Google, and other web and mobile platforms. Through these platforms, users can download our free-to-play games and can purchase virtual currency which is redeemed in the game for virtual goods, or players can purchase virtual goods directly (collectively referred to as virtual items) to enhance their game-playing experience.</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initial download of the games does not create a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ASC 606; however, the separate election by the player to make an in-application purchase satisfies the ASC 606 criterion for creating a contract.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Players can pay for their virtual item purchases through various widely accepted payment methods offered in the games. Payments from players for virtual items are required at the time of purchase, are non-refundable and relate to non-cancellable contracts that specify our obligations and cannot be redeemed for cash nor exchanged for anything other than virtual items within our games. The purchase price is a fixed amount which reflects the consideration that we expect to be entitled to receive in exchange for use of virtual items by our customers. The platform providers collect proceeds from the game players and remit the proceeds to us after deducting their respective platform fees.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primarily responsible for providing the virtual items, have control over the content and functionality of games and have the discretion to establish the virtual items’ prices. Therefore, we are the principal and, accordingly revenues are recorded on a gross basis. Payment processing fees paid to platform providers are recorded within cost of revenue. Our performance obligation is to display the virtual items within the game over the estimated life of the paying player or until the virtual item is consumed in game play based upon the nature of the virtual item.</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categorize our virtual items as either consumable or durable. The substantial majority of our games sell only consumable virtual items. Consumable virtual items represent items that can be consumed by a specific player action and do not provide the player any continuing benefit following consumption. For the sale of consumable virtual items, we recognize revenues as the items are consumed (i.e. over time) which is usually up to one month. We have determined through a review of game play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color w:val="auto"/>
        </w:rPr>
        <w:t>behavior that players generally do not purchase additional virtual currency until their existing virtual currency balances have been substantially consumed. This review, performed on a game-by-game basis, includes an analysis of game players’ historical play behavior, purchase behavior, and the amount of virtual currency outstanding. Based upon this analysis, we have estimated the rate at which virtual currency is consumed during game play within each game. Accordingly, revenues are recognized using a user-based revenue model using these estimated consumption rates. We monitor our analysis of customer play behavior on a quarterly basis.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Durable virtual items represent items that are accessible to the player over an extended period of time. We recognize revenues from the sale of durable virtual items ratably over the estimated average life of the paying player, which is estimated on a game-by-game basis and generally ranges from six months up to twelve months. We estimate the average life of the paying player based on historical paying player patterns and playing behaviors within each of the specific games that offer durable virtual items. We monitor our operational data and player patterns and re-assess our estimates on a quarterly basis.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which represent a contract liability, represent mostly unrecognized fees collected for virtual items which are not consumed at the balance sheets date, or for players that are still active in the games.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other taxes collected from customers on behalf of governmental authorities are accounted for on a net basis and are not included in revenues or operating expenses.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have relationships with certain advertising service providers for advertisements within our games and revenues from these advertising providers is generated through impressions, clickthroughs, banner ads and offers. We have determined that displaying the advertisements within the mobile games is identified as a single performance obligation. The transaction price in advertising arrangements is established by our advertising service providers and is generally the product of the number of advertising units delivered (e.g. impressions, offers completed, etc.) and the contractually agreed upon price per unit. Revenues from advertisements and offers are recognized at a point-in-time when the advertisements are displayed in the game or the offer has been completed by the user as the customer simultaneously receives and consumes the benefits provided from these services. We have determined that we are generally acting as an agent in our advertising arrangements as the advertising service providers maintain the relationship with the customers, control the pricing of the advertising such that we do not know the total price paid by the customer to the service providers, and control the advertising product through the time the advertisements are displayed in our games. Therefore, we recognize revenues related to these arrangements on a net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use interest rate swap contracts to reduce our exposure to fluctuating interest rates associated with our variable rate debt, and to effectively increase the portion of debt upon which we pay a fixed interest rate. Our interest rate swap agreements are designated as cash flow hedges under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involving the receipt of variable amounts from a counterparty in exchange for us making fixed-rate payments over the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agreement, without the exchange of the underlying notional amount. These hedges are highly effective in offsetting changes in our future expected cash flows due to the fluctuation of our variable rate debt.</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the effectiveness of our hedges on a quarterly basis, both qualitatively and quantitatively. We performed a regression analysis at inception of the hedging relationship and at period end in which we compared the change in the fair value of the swap transaction and the change in fair value of a hypothetical interest rate swap having terms that identically match the terms of the debt's interest rate payments historical swap rates. We believe that the hedging instruments are expected to be highly effective at offsetting changes in the hedged transactions attributable to the risk being hedged. For each future reporting period, we will continue performing retrospective and prospective assessments of hedge effectiveness in a single regression analysis by updating the regression analysis that was prepared at the inception of the hedging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Foreign currency hedge agreements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use foreign currency derivative contracts to reduce our exposure to fluctuating exchange rates between the United States dollar (as our functional currency) and certain expense lines denominated in Euros (“EUR”), Israeli Shekels (“ILS”), Polish Zloty (“PLN”) and Romanian Leu (“RON”). Our derivative contracts are designated as cash flow hedges under ASC 815. We monitor the effectiveness of our hedges on a quarterly basis, both qualitatively and quantitatively, and expect these hedges to remain highly effective at offsetting fluctuations in exchange rates through their respective maturity dates. See </w:t>
      </w:r>
      <w:r>
        <w:rPr>
          <w:rFonts w:ascii="Times New Roman" w:cs="Times New Roman" w:eastAsia="Times New Roman" w:hAnsi="Times New Roman"/>
          <w:sz w:val="18"/>
          <w:szCs w:val="18"/>
          <w:i w:val="1"/>
          <w:iCs w:val="1"/>
          <w:color w:val="auto"/>
        </w:rPr>
        <w:t>Note 15, Derivative Instruments,</w:t>
      </w:r>
      <w:r>
        <w:rPr>
          <w:rFonts w:ascii="Times New Roman" w:cs="Times New Roman" w:eastAsia="Times New Roman" w:hAnsi="Times New Roman"/>
          <w:sz w:val="18"/>
          <w:szCs w:val="18"/>
          <w:color w:val="auto"/>
        </w:rPr>
        <w:t xml:space="preserve"> to the financial statements included elsewhere in this filing for additional discussion.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we would pay or receive if these contracts were settled at the respective valuation dates. The inputs used to measure the fair value of our interest rate swap agreements and foreign currency derivative contracts are categorized as Level 2 in the fair value hierarchy as established by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See </w:t>
      </w:r>
      <w:r>
        <w:rPr>
          <w:rFonts w:ascii="Times New Roman" w:cs="Times New Roman" w:eastAsia="Times New Roman" w:hAnsi="Times New Roman"/>
          <w:sz w:val="18"/>
          <w:szCs w:val="18"/>
          <w:i w:val="1"/>
          <w:iCs w:val="1"/>
          <w:color w:val="auto"/>
        </w:rPr>
        <w:t>Note 16, Fair Value Measurements</w:t>
      </w:r>
      <w:r>
        <w:rPr>
          <w:rFonts w:ascii="Times New Roman" w:cs="Times New Roman" w:eastAsia="Times New Roman" w:hAnsi="Times New Roman"/>
          <w:sz w:val="18"/>
          <w:szCs w:val="18"/>
          <w:color w:val="auto"/>
        </w:rPr>
        <w:t>, for additional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reduce the carrying amounts of deferred tax assets by a valuation allowance if, based on the available evidence, it is more likely than not that such assets will not be realized. Accordingly, 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our experience with operating loss and tax credit carryforwards expiring unused and tax planning alternatives.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U.S. and numerous foreign jurisdictions. The evaluation of the Company’s uncertain tax positions involves significant judgment in the interpretation and application of GAAP and complex domestic and international tax laws, and matters related to the allocation of international taxation rights between countries. Although management believes the Company’s reserves are reasonable, no assurance can be given that the final outcome of these uncertainties will not be different from that which is reflected in the Company’s reserves. Reserves are adjusted considering changing facts and circumstances, such as the closing of a tax examination. Resolution of these uncertainties in a manner inconsistent with management’s expectations could have a material impact on the Company’s financial condition and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xml:space="preserve"> to the financial statements included elsewhere in this filing for a description of recently adopted accounting pronouncements and recently issued accounting pronouncements not yet adopted as of the date of this filing.</w:t>
      </w:r>
    </w:p>
    <w:p>
      <w:pPr>
        <w:spacing w:after="0" w:line="1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risk, investment risk, and foreign currency risk as follows: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exposures to market risk for changes in interest rates relate primarily to our Term Loan and our Revolving Credit Facility. The Term Loan and our Revolving Credit Facility are floating rate facilities. Therefore, fluctuations in interest rates will impact the amount of interest expense we incur and have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3" w:name="page84"/>
    <w:bookmarkEnd w:id="83"/>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2021, we entered into two interest rate swap agreements, each with a notional value of $250 million. Each of these swap agreements is with a different financial institution as the counterparty to reduce our counterparty risk. Each swap requires us to pay a fixed interest rate of 0.9275% in exchange for receiving one-month LIBOR. The interest rate swap agreements settle monthly commencing in April 2021 through their termination dates on April 30, 2026. In June 2023 these two interest rate swap agreements were amended so that effective July 31, 2023, we pay a fixed interest rate of 0.85% in exchange for receiving one-month Term SOFR.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we entered into two additional interest rate swap agreements, each with a notional value of $250 million. Each of these swap agreements is with a different financial institution, and each swap requires us to pay a fixed interest rate of 3.435% in exchange for receiving one-month LIBOR for six months and one-month Term SOFR afterwards. The interest rate swap agreements settle monthly commencing in February 2023 through their termination dates on February 28, 2028.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our interest rate swap agreements is derived from a discounted cash flow analysis.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borrowings outstanding under our Term Loan with book values of $1,793.2 million and $1,805.4 million at December 31, 2025 and December 31, 2024, respectively, which were subject to a weighted average interest rate of 6.879% and 8.030% for the years ended December 31, 2025 and 2024, respectively. There were no borrowings against our Revolving Credit Facility at December 31, 2025 or December 31, 2024. The Notes bear interest at a fixed rate of 4.250% per annum and accordingly do not vary with prevailing interest rates.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hypothetical 100 basis point increase or decrease in weighted average interest rates under our Term Loan would have increased or decreased our interest expense by $8.1 million and $8.3 million for the years ended December 31, 2025 and 2024, respectively, including consideration of the impact the hypothetical basis point change would have had on our interest rate swap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senior notes will generally fluctuate with movements of interest rates, increasing in periods of declining rates of interest and declining in periods of increasing rates of interest.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hypothetical 100 basis point increase in interest rates would have decreased the fair value of our senior notes by $15.7 million for the year ended December 31,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hypothetical 100 basis point decrease in interest rates would have increased the fair value of our senior notes by $15.6 million for the years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including restricted cash totaling $685.7 million and $567.7 million as of December 31, 2025 and December 31, 2024, respectively, and short-term investments of $136.0 million as of December 31, 2025. Our investment policy and strategy primarily attempts to preserve capital and meet liquidity requirements without significantly increasing risk. Our cash and cash equivalents primarily consist of commercial papers, bank deposits and money market funds. We do not enter into investments for trading or speculative purposes. Changes in rates would primarily impact interest income due to the relatively short-term nature of our investments.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functional currency is the U.S. Dollar and most of our revenues are denominated in U.S. Dollars. However, we have foreign currency risks related to a significant portion of our operating expenses, consisting of headcount related expenses as well as certain other operating expenses, denominated in currencies other than the U.S. Dollar, primarily the EUR, ILS, PLN and RON. Accordingly, changes in exchange rates in the future may negatively affect our future revenues and other operating results as expressed in U.S. Dollars. Our foreign currency risk is partially mitigated as our revenues recognized in currencies other than the U.S. Dollar is diversified across geographic regions and we incur expenses in the same currencies in these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as a result of transaction gains or losses related to remeasurement of our asset and liability balances that are denominated in currencies other than the functional currency of the entities in which they are recorded.</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we had entered into derivative contracts to purchase certain foreign currencies at future dates. The approximate amount of hedges was equal to $206.6 million, and all contracts are expected to mature during the upcoming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5" w:name="page86"/>
    <w:bookmarkEnd w:id="85"/>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SUPPLEMENTAL DATA</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31" w:lineRule="exact"/>
        <w:rPr>
          <w:sz w:val="20"/>
          <w:szCs w:val="20"/>
          <w:color w:val="auto"/>
        </w:rPr>
      </w:pPr>
    </w:p>
    <w:p>
      <w:pPr>
        <w:jc w:val="center"/>
        <w:ind w:left="17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175895</wp:posOffset>
            </wp:positionV>
            <wp:extent cx="707199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71995" cy="179705"/>
                    </a:xfrm>
                    <a:prstGeom prst="rect">
                      <a:avLst/>
                    </a:prstGeom>
                    <a:noFill/>
                  </pic:spPr>
                </pic:pic>
              </a:graphicData>
            </a:graphic>
          </wp:anchor>
        </w:drawing>
      </w:r>
    </w:p>
    <w:p>
      <w:pPr>
        <w:spacing w:after="0" w:line="279" w:lineRule="exact"/>
        <w:rPr>
          <w:sz w:val="20"/>
          <w:szCs w:val="20"/>
          <w:color w:val="auto"/>
        </w:rPr>
      </w:pPr>
    </w:p>
    <w:p>
      <w:pPr>
        <w:ind w:left="80"/>
        <w:spacing w:after="0"/>
        <w:tabs>
          <w:tab w:leader="none" w:pos="5620" w:val="left"/>
        </w:tabs>
        <w:rPr>
          <w:sz w:val="20"/>
          <w:szCs w:val="20"/>
          <w:color w:val="auto"/>
        </w:rPr>
      </w:pPr>
      <w:r>
        <w:rPr>
          <w:rFonts w:ascii="Times New Roman" w:cs="Times New Roman" w:eastAsia="Times New Roman" w:hAnsi="Times New Roman"/>
          <w:sz w:val="18"/>
          <w:szCs w:val="18"/>
          <w:u w:val="single" w:color="auto"/>
          <w:color w:val="0000FF"/>
        </w:rPr>
        <w:t>Reports of Independent Registered Public Accounting Firm</w:t>
      </w:r>
      <w:r>
        <w:rPr>
          <w:sz w:val="20"/>
          <w:szCs w:val="20"/>
          <w:color w:val="auto"/>
        </w:rPr>
        <w:tab/>
      </w:r>
      <w:r>
        <w:rPr>
          <w:rFonts w:ascii="Times New Roman" w:cs="Times New Roman" w:eastAsia="Times New Roman" w:hAnsi="Times New Roman"/>
          <w:sz w:val="17"/>
          <w:szCs w:val="17"/>
          <w:color w:val="auto"/>
        </w:rPr>
        <w:t>(PCAOB ID# 1281)</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071995"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96-139</w:t>
      </w:r>
    </w:p>
    <w:p>
      <w:pPr>
        <w:sectPr>
          <w:pgSz w:w="11900" w:h="16838" w:orient="portrait"/>
          <w:cols w:equalWidth="0" w:num="2">
            <w:col w:w="9480" w:space="720"/>
            <w:col w:w="520"/>
          </w:cols>
          <w:pgMar w:left="320" w:top="1413" w:right="859" w:bottom="1440" w:gutter="0" w:footer="0" w:header="0"/>
        </w:sectPr>
      </w:pPr>
    </w:p>
    <w:bookmarkStart w:id="86" w:name="page87"/>
    <w:bookmarkEnd w:id="86"/>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Playtika Holding Corp. (the Company) as of December 31, 2025 and 2024, the related consolidated statements of comprehensive income, stockholders' equity (deficit) and cash flows for each of the three years in the period ended December 31, 2025,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68"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Description of the Matter</w:t>
      </w:r>
      <w:r>
        <w:rPr>
          <w:sz w:val="20"/>
          <w:szCs w:val="20"/>
          <w:color w:val="auto"/>
        </w:rPr>
        <w:tab/>
      </w:r>
      <w:r>
        <w:rPr>
          <w:rFonts w:ascii="Times New Roman" w:cs="Times New Roman" w:eastAsia="Times New Roman" w:hAnsi="Times New Roman"/>
          <w:sz w:val="17"/>
          <w:szCs w:val="17"/>
          <w:b w:val="1"/>
          <w:bCs w:val="1"/>
          <w:color w:val="auto"/>
        </w:rPr>
        <w:t>Valuation of Contingent consideration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line="268" w:lineRule="auto"/>
        <w:rPr>
          <w:sz w:val="20"/>
          <w:szCs w:val="20"/>
          <w:color w:val="auto"/>
        </w:rPr>
      </w:pPr>
      <w:r>
        <w:rPr>
          <w:rFonts w:ascii="Times New Roman" w:cs="Times New Roman" w:eastAsia="Times New Roman" w:hAnsi="Times New Roman"/>
          <w:sz w:val="17"/>
          <w:szCs w:val="17"/>
          <w:b w:val="1"/>
          <w:b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Notes 2 and 16 of the consolidated financial statements, in November 2024, the Company completed the acquisition of 100% of the issued and outstanding share capital of SuperPlay Ltd. (“SuperPlay”), for which the purchase consideration included a liability classified contingent consideration. The Company determined the fair value of the long-term contingent consideration liability to be $280 million as of December 31, 2025. Changes in the fair value of the long-term contingent consideration are recorded as income or expense in the Company’s consolidated statements of comprehensive income.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estimations of the fair value of the long-term contingent consideration was complex due to the significant assumptions and judgment required by management in determining the fair value of the long-term contingent consideration. The Company used the Monte Carlo simulation approach to measure the fair value of the long-term contingent consideration (the "Valuation Model"). The significant assumptions used to estimate the fair value of the long-term contingent consideration included forecasted revenue, revenue volatility rate and discount rates. These significant assumptions are forward- looking and could be affected by future economic and market conditions.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management's controls over its estimation of the fair value of the long-term contingent consideration, and the underlying assumptions used to develop such estimates.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estimated fair value of the long-term contingent consideration, we performed audit procedures that included, among others, evaluating the Company's valuation methodology and prospective financial information and testing the completeness and accuracy of the underlying data supporting the Company's significant assumptions. In addition, we compared the significant assumptions to market and economic trends and historical results . We utilized the assistance of our valuation specialists to evaluate the method used to determine the fair value of the long-term contingent consideration, which included, among others, developing an independent comparative calculation of the Valuation Model. We also performed audit procedures that included assessing the terms of the arrangement, including the conditions that must be met for the long-term contingent consideration to become payable.</w:t>
      </w:r>
    </w:p>
    <w:p>
      <w:pPr>
        <w:spacing w:after="0" w:line="200" w:lineRule="exact"/>
        <w:rPr>
          <w:sz w:val="20"/>
          <w:szCs w:val="20"/>
          <w:color w:val="auto"/>
        </w:rPr>
      </w:pPr>
    </w:p>
    <w:p>
      <w:pPr>
        <w:sectPr>
          <w:pgSz w:w="11900" w:h="16838" w:orient="portrait"/>
          <w:cols w:equalWidth="0" w:num="2">
            <w:col w:w="1820" w:space="460"/>
            <w:col w:w="8940"/>
          </w:cols>
          <w:pgMar w:left="320" w:top="1440" w:right="35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Playtika Holding Corp.'s internal control over financial reporting as of December 31, 2025, based on criteria established in Internal Control—Integrated Framework issued by the Committee of Sponsoring Organizations of the Treadway Commission (2013 framework) (the COSO criteria). In our opinion, Playtika Holding Corp. (the Company) maintained, in all material respects, effective internal control over financial reporting as of December 31, 2025, based on the COSO criteria.</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comprehensive income, stockholders’ equity (deficit) and cash flows for each of the three years in the period ended December 31, 2025, and the related notes financial statement schedule listed in the Index at item 15(a)(2) and our report dated February 26, 2026 expressed an unqualified opinion thereon.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9" w:name="page90"/>
    <w:bookmarkEnd w:id="89"/>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Short-term investments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Restricted cash</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Total current assets</w:t>
      </w:r>
    </w:p>
    <w:p>
      <w:pPr>
        <w:spacing w:after="0" w:line="61" w:lineRule="exact"/>
        <w:rPr>
          <w:sz w:val="20"/>
          <w:szCs w:val="20"/>
          <w:color w:val="auto"/>
        </w:rPr>
      </w:pPr>
    </w:p>
    <w:p>
      <w:pPr>
        <w:ind w:left="20" w:right="660"/>
        <w:spacing w:after="0" w:line="339" w:lineRule="auto"/>
        <w:rPr>
          <w:sz w:val="20"/>
          <w:szCs w:val="20"/>
          <w:color w:val="auto"/>
        </w:rPr>
      </w:pPr>
      <w:r>
        <w:rPr>
          <w:rFonts w:ascii="Times New Roman" w:cs="Times New Roman" w:eastAsia="Times New Roman" w:hAnsi="Times New Roman"/>
          <w:sz w:val="16"/>
          <w:szCs w:val="16"/>
          <w:color w:val="auto"/>
        </w:rPr>
        <w:t>Property and equipment, net Operating lease right-of-use assets Intangible assets other than goodwill, net Goodwill</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tax assets, net</w:t>
      </w:r>
    </w:p>
    <w:p>
      <w:pPr>
        <w:spacing w:after="0" w:line="59" w:lineRule="exact"/>
        <w:rPr>
          <w:sz w:val="20"/>
          <w:szCs w:val="20"/>
          <w:color w:val="auto"/>
        </w:rPr>
      </w:pPr>
    </w:p>
    <w:p>
      <w:pPr>
        <w:ind w:left="20" w:right="900"/>
        <w:spacing w:after="0" w:line="324" w:lineRule="auto"/>
        <w:rPr>
          <w:sz w:val="20"/>
          <w:szCs w:val="20"/>
          <w:color w:val="auto"/>
        </w:rPr>
      </w:pPr>
      <w:r>
        <w:rPr>
          <w:rFonts w:ascii="Times New Roman" w:cs="Times New Roman" w:eastAsia="Times New Roman" w:hAnsi="Times New Roman"/>
          <w:sz w:val="16"/>
          <w:szCs w:val="16"/>
          <w:color w:val="auto"/>
        </w:rPr>
        <w:t>Investment in unconsolidated entities Other non-current assets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43"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7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4140" w:type="dxa"/>
        <w:tblCellMar>
          <w:top w:w="0" w:type="dxa"/>
          <w:left w:w="0" w:type="dxa"/>
          <w:bottom w:w="0" w:type="dxa"/>
          <w:right w:w="0" w:type="dxa"/>
        </w:tblCellMar>
      </w:tblPr>
      <w:tr>
        <w:trPr>
          <w:trHeight w:val="214"/>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705"/>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684.2</w:t>
            </w:r>
          </w:p>
        </w:tc>
        <w:tc>
          <w:tcPr>
            <w:tcW w:w="10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565.8</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r>
      <w:tr>
        <w:trPr>
          <w:trHeight w:val="246"/>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r>
      <w:tr>
        <w:trPr>
          <w:trHeight w:val="220"/>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872.8</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562.2</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1,692.3</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r>
      <w:tr>
        <w:trPr>
          <w:trHeight w:val="243"/>
        </w:trPr>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46"/>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3,639.2</w:t>
            </w:r>
          </w:p>
        </w:tc>
      </w:tr>
      <w:tr>
        <w:trPr>
          <w:trHeight w:val="23"/>
        </w:trPr>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-2493645</wp:posOffset>
            </wp:positionV>
            <wp:extent cx="711517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-2185670</wp:posOffset>
            </wp:positionV>
            <wp:extent cx="711517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-1877060</wp:posOffset>
            </wp:positionV>
            <wp:extent cx="711517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-1568450</wp:posOffset>
            </wp:positionV>
            <wp:extent cx="711517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-1259840</wp:posOffset>
            </wp:positionV>
            <wp:extent cx="711517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-950595</wp:posOffset>
            </wp:positionV>
            <wp:extent cx="711517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-642620</wp:posOffset>
            </wp:positionV>
            <wp:extent cx="711517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-334010</wp:posOffset>
            </wp:positionV>
            <wp:extent cx="711517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-16510</wp:posOffset>
            </wp:positionV>
            <wp:extent cx="711517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60"/>
          </w:cols>
          <w:pgMar w:left="320" w:top="1413" w:right="35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p>
      <w:pPr>
        <w:spacing w:after="0" w:line="61" w:lineRule="exact"/>
        <w:rPr>
          <w:sz w:val="20"/>
          <w:szCs w:val="20"/>
          <w:color w:val="auto"/>
        </w:rPr>
      </w:pPr>
    </w:p>
    <w:p>
      <w:pPr>
        <w:ind w:left="260"/>
        <w:spacing w:after="0"/>
        <w:tabs>
          <w:tab w:leader="none" w:pos="8200" w:val="left"/>
        </w:tabs>
        <w:rPr>
          <w:sz w:val="20"/>
          <w:szCs w:val="20"/>
          <w:color w:val="auto"/>
        </w:rPr>
      </w:pPr>
      <w:r>
        <w:rPr>
          <w:rFonts w:ascii="Times New Roman" w:cs="Times New Roman" w:eastAsia="Times New Roman" w:hAnsi="Times New Roman"/>
          <w:sz w:val="16"/>
          <w:szCs w:val="16"/>
          <w:color w:val="auto"/>
        </w:rPr>
        <w:t>Current maturities of long-term debt</w:t>
      </w:r>
      <w:r>
        <w:rPr>
          <w:sz w:val="20"/>
          <w:szCs w:val="20"/>
          <w:color w:val="auto"/>
        </w:rPr>
        <w:tab/>
      </w: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Contingent consideration</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Long-term debt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1517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Commitments and contingencies (Note </w:t>
      </w:r>
      <w:r>
        <w:rPr>
          <w:rFonts w:ascii="Times New Roman" w:cs="Times New Roman" w:eastAsia="Times New Roman" w:hAnsi="Times New Roman"/>
          <w:sz w:val="17"/>
          <w:szCs w:val="17"/>
          <w:color w:val="auto"/>
        </w:rPr>
        <w:t>17</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p>
      <w:pPr>
        <w:spacing w:after="0" w:line="59" w:lineRule="exact"/>
        <w:rPr>
          <w:sz w:val="20"/>
          <w:szCs w:val="20"/>
          <w:color w:val="auto"/>
        </w:rPr>
      </w:pPr>
    </w:p>
    <w:p>
      <w:pPr>
        <w:ind w:left="440" w:right="260" w:hanging="161"/>
        <w:spacing w:after="0" w:line="280" w:lineRule="auto"/>
        <w:rPr>
          <w:sz w:val="20"/>
          <w:szCs w:val="20"/>
          <w:color w:val="auto"/>
        </w:rPr>
      </w:pPr>
      <w:r>
        <w:rPr>
          <w:rFonts w:ascii="Times New Roman" w:cs="Times New Roman" w:eastAsia="Times New Roman" w:hAnsi="Times New Roman"/>
          <w:sz w:val="16"/>
          <w:szCs w:val="16"/>
          <w:color w:val="auto"/>
        </w:rPr>
        <w:t>Common stock of US $0.01 par value: 1,600.0 shares authorized; 428.8 and 427.1 shares issued, respectively, and 377.0 and 375.3 shares outstanding, respectively</w:t>
      </w:r>
    </w:p>
    <w:p>
      <w:pPr>
        <w:spacing w:after="0" w:line="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Treasury stock at cost, 51.8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80.3</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454.0</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27.5</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46"/>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395.0</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w:t>
            </w:r>
          </w:p>
        </w:tc>
      </w:tr>
      <w:tr>
        <w:trPr>
          <w:trHeight w:val="220"/>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967.9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2,378.0</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2,388.5</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280.0</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115.4</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46"/>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380.8</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w:t>
            </w:r>
          </w:p>
        </w:tc>
      </w:tr>
      <w:tr>
        <w:trPr>
          <w:trHeight w:val="22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4,130.3</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3,770.3</w:t>
            </w:r>
          </w:p>
        </w:tc>
      </w:tr>
      <w:tr>
        <w:trPr>
          <w:trHeight w:val="881"/>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43"/>
        </w:trPr>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(603.5)</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(603.5)</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1,423.1</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1,362.7</w:t>
            </w:r>
          </w:p>
        </w:tc>
      </w:tr>
      <w:tr>
        <w:trPr>
          <w:trHeight w:val="243"/>
        </w:trPr>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15.9</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43"/>
        </w:trPr>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8"/>
              </w:rPr>
              <w:t>(1,251.2)</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-1186815</wp:posOffset>
            </wp:positionV>
            <wp:extent cx="9258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320" w:space="720"/>
            <w:col w:w="2180"/>
          </w:cols>
          <w:pgMar w:left="320" w:top="1413" w:right="35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200" w:type="dxa"/>
            <w:vAlign w:val="bottom"/>
            <w:tcBorders>
              <w:top w:val="single" w:sz="8" w:color="CCEEFF"/>
            </w:tcBorders>
            <w:shd w:val="clear" w:color="auto" w:fill="CCEEFF"/>
          </w:tcPr>
          <w:p>
            <w:pPr>
              <w:jc w:val="center"/>
              <w:ind w:right="5299"/>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r>
      <w:tr>
        <w:trPr>
          <w:trHeight w:val="207"/>
        </w:trPr>
        <w:tc>
          <w:tcPr>
            <w:tcW w:w="8200" w:type="dxa"/>
            <w:vAlign w:val="bottom"/>
          </w:tcPr>
          <w:p>
            <w:pPr>
              <w:jc w:val="center"/>
              <w:ind w:right="5299"/>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3,718.9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3,639.2</w:t>
            </w:r>
          </w:p>
        </w:tc>
      </w:tr>
      <w:tr>
        <w:trPr>
          <w:trHeight w:val="23"/>
        </w:trPr>
        <w:tc>
          <w:tcPr>
            <w:tcW w:w="8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20" w:top="141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2,755.4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2,567.0</w:t>
            </w:r>
          </w:p>
        </w:tc>
        <w:tc>
          <w:tcPr>
            <w:tcW w:w="0" w:type="dxa"/>
            <w:vAlign w:val="bottom"/>
          </w:tcPr>
          <w:p>
            <w:pPr>
              <w:spacing w:after="0"/>
              <w:rPr>
                <w:sz w:val="1"/>
                <w:szCs w:val="1"/>
                <w:color w:val="auto"/>
              </w:rPr>
            </w:pPr>
          </w:p>
        </w:tc>
      </w:tr>
      <w:tr>
        <w:trPr>
          <w:trHeight w:val="214"/>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0" w:type="dxa"/>
            <w:vAlign w:val="bottom"/>
          </w:tcPr>
          <w:p>
            <w:pPr>
              <w:spacing w:after="0"/>
              <w:rPr>
                <w:sz w:val="1"/>
                <w:szCs w:val="1"/>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Impairment charges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07"/>
        </w:trPr>
        <w:tc>
          <w:tcPr>
            <w:tcW w:w="66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2,760.5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2,065.4</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Interest and other, net</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14"/>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 in fair value of derivatives</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 basic</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attributable to common stockholders, diluted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Weighted-average shares used in computing net income (loss) per share attributable to common</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6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0" w:type="dxa"/>
            <w:vAlign w:val="bottom"/>
          </w:tcPr>
          <w:p>
            <w:pPr>
              <w:spacing w:after="0"/>
              <w:rPr>
                <w:sz w:val="1"/>
                <w:szCs w:val="1"/>
                <w:color w:val="auto"/>
              </w:rPr>
            </w:pPr>
          </w:p>
        </w:tc>
      </w:tr>
      <w:tr>
        <w:trPr>
          <w:trHeight w:val="189"/>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stockholders, basic</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Weighted-average shares used in computing net income (loss) per share attributable to common</w:t>
            </w:r>
          </w:p>
        </w:tc>
        <w:tc>
          <w:tcPr>
            <w:tcW w:w="9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stockholders, diluted</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23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
                <w:szCs w:val="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1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68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upon vesting of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Income tax withholding related to</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vesting of restricted stock units and other</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Cash dividends declared ($0.40 per</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upon vesting of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Income tax withholding related to</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vesting of restricted stock units and other</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Cash dividends declared ($0.40 per</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0" w:type="dxa"/>
            <w:vAlign w:val="bottom"/>
          </w:tcPr>
          <w:p>
            <w:pPr>
              <w:spacing w:after="0"/>
              <w:rPr>
                <w:sz w:val="1"/>
                <w:szCs w:val="1"/>
                <w:color w:val="auto"/>
              </w:rPr>
            </w:pPr>
          </w:p>
        </w:tc>
      </w:tr>
      <w:tr>
        <w:trPr>
          <w:trHeight w:val="195"/>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shares upon vesting of RSUs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46"/>
        </w:trPr>
        <w:tc>
          <w:tcPr>
            <w:tcW w:w="26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Income tax withholding related to</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vesting of restricted stock units and other</w:t>
            </w: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2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(603.5)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w:t>
      </w:r>
    </w:p>
    <w:p>
      <w:pPr>
        <w:spacing w:after="0" w:line="24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Represents an amount less than 0.1 or $0.1</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11"/>
        </w:trPr>
        <w:tc>
          <w:tcPr>
            <w:tcW w:w="66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income (loss) to net cash from operating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Impairment charges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 in deferred taxes,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loan discount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Loss (gain) from foreign currency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Non-cash lease expenses (benefit), net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Payment of excess acquisition date fair value of contingent consideration</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9"/>
        </w:trPr>
        <w:tc>
          <w:tcPr>
            <w:tcW w:w="66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13"/>
        </w:trPr>
        <w:tc>
          <w:tcPr>
            <w:tcW w:w="66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66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07"/>
        </w:trPr>
        <w:tc>
          <w:tcPr>
            <w:tcW w:w="6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515.6</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Capitalization of internal use software costs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software for internal use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Payments for business combination, net of cash acquired</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7"/>
        </w:trPr>
        <w:tc>
          <w:tcPr>
            <w:tcW w:w="66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Dividends paid</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Repayments on bank borrowings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 of tax withholdings on stock-based payments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 for share buyback</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7"/>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r>
      <w:tr>
        <w:trPr>
          <w:trHeight w:val="214"/>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beginning of the period</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770.4</w:t>
            </w:r>
          </w:p>
        </w:tc>
      </w:tr>
      <w:tr>
        <w:trPr>
          <w:trHeight w:val="236"/>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period</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20" w:type="dxa"/>
            <w:vAlign w:val="bottom"/>
            <w:tcBorders>
              <w:bottom w:val="single" w:sz="8" w:color="auto"/>
            </w:tcBorders>
          </w:tcPr>
          <w:p>
            <w:pPr>
              <w:spacing w:after="0"/>
              <w:rPr>
                <w:sz w:val="18"/>
                <w:szCs w:val="18"/>
                <w:color w:val="auto"/>
              </w:rPr>
            </w:pPr>
          </w:p>
        </w:tc>
      </w:tr>
      <w:tr>
        <w:trPr>
          <w:trHeight w:val="211"/>
        </w:trPr>
        <w:tc>
          <w:tcPr>
            <w:tcW w:w="66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r>
      <w:tr>
        <w:trPr>
          <w:trHeight w:val="214"/>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financing and investing activities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Right-of-use assets acquired under operating leases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dividend</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purchases of property and equipment and intangible assets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3"/>
        </w:trPr>
        <w:tc>
          <w:tcPr>
            <w:tcW w:w="66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Capitalization of stock-based compensation costs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Recognition of contingent consideration liability upon business acquisition</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unless specified otherwise)</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organization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Playtika Holding Corp. (“Playtika”) and its subsidiaries (together with Playtika, the “Company”) is one of the world’s leading developers of mobile games creating fun, innovative experiences that entertain and engage its users. It has built best-in-class live game operations services and a proprietary technology platform to support its portfolio of games which enable it to drive strong user engagement and monetization. The Company’s games are free-to-play, and the Company seeks to provide novel, curated in-game content and offers to its users, at optimal points in their game journeys to drive user engagement and monetization. As of December 31, 2025, the Company has leased facilities in Austria, Finland, Germany, Israel, Netherlands, Poland, Romania, Ukraine, the United Kingdom and the United States.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(“U.S. GAAP”) and include Playtika and all subsidiaries in which the Company has a controlling financial interest. Control generally equates to ownership percentage, whereby (i) affiliates that are more than 50% owned are consolidated; (ii) investments in affiliates of 50% or less but greater than 20% are generally accounted for using the equity method where the Company has determined that it has significant influence over the entities; and (iii) investments in affiliates of 20% or less, without readily determinable fair value, are generally accounted for at cost minus impairment, if any, plus or minus changes resulting from observable price changes in orderly transactions for the identical or a similar investment of the same issuer. In the opinion of management, all adjustments considered necessary for a fair presentation have been recorded within the accompanying financial statements, consisting of normal, recurring adjustments, and all intercompany balances and transactions have been eliminated in the consolidation.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comparative figures have been reclassified to conform to the current year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unconsolidated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holds certain equity investments in various unconsolidated entities that, based upon the structure of the investment, are not within the scope of equity method investment accounting that would lead to the consolidation conclusions above. Instead, these investments fall within the scope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 permitted within that guidance, the Company has elected to account for these investments at cost less impairment, adjusted for changes in fair value from observable transactions for identical or similar investments of the same issuer as of the respective transaction dates. Due to poor performance of certain of these investments leading to significant uncertainty regarding their future viability, the Company recorded impairments of $4.6 million and $36.3 million related to these certain investments during the years ended December 31, 2025 and 2024,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liabilities at the dates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United States dollars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Playtika and certain subsidiaries are conducted is the U.S. dollar ("dollar"); thus, the dollar is the functional currency of Playtika and certain subsidiaries.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Playtika and certain subsidiaries' transactions and balances denominated in dollars are presented at their original amounts. Non-dollar transactions and balances have been remeasured to dollars in accordance with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All transaction gains and losses from remeasurement of monetary balance sheet items denominated in non-dollar currencies are reflected in the statements of comprehensive income as financial income or expenses, as appropriate.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those consolidated subsidiaries whose functional currency has been determined to be a non-dollar currency, assets and liabilities are translated at year-end exchange rates and statement of income items are translated using the date of the transaction exchange rate or at the average exchange rates prevailing during the year. Such translation adjustments are recorded as a separate component of accumulated other comprehensive income (loss) in stockholders' equity (deficit).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primarily of cash and cash equivalents, short-term investments, restricted cash, accounts receivable and derivative contracts. The Company’s investment policy imposes certain maturity limits on the Company’s portfolio and restricts the permitted investments to the purchase of bank deposits and highly rated fixed income securities.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Apple and Google are significant distribution, marketing, promotion and payment platforms for the Company's games. A significant portion of the Company’s revenues has been generated from players who accessed the Company's games through these platforms. Therefore, the Company's accounts receivable are derived mainly from sales through these two platforms.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major accounts receivable of the Company as a percentage of the total accounts receivable as of the dates indicated:</w:t>
      </w:r>
    </w:p>
    <w:p>
      <w:pPr>
        <w:spacing w:after="0" w:line="46"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500" w:type="dxa"/>
            <w:vAlign w:val="bottom"/>
          </w:tcPr>
          <w:p>
            <w:pPr>
              <w:spacing w:after="0"/>
              <w:rPr>
                <w:sz w:val="19"/>
                <w:szCs w:val="19"/>
                <w:color w:val="auto"/>
              </w:rPr>
            </w:pPr>
          </w:p>
        </w:tc>
        <w:tc>
          <w:tcPr>
            <w:tcW w:w="84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9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75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w:t>
            </w:r>
          </w:p>
        </w:tc>
        <w:tc>
          <w:tcPr>
            <w:tcW w:w="8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56</w:t>
            </w:r>
          </w:p>
        </w:tc>
        <w:tc>
          <w:tcPr>
            <w:tcW w:w="19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60</w:t>
            </w: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Google</w:t>
            </w:r>
          </w:p>
        </w:tc>
        <w:tc>
          <w:tcPr>
            <w:tcW w:w="8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28</w:t>
            </w:r>
          </w:p>
        </w:tc>
        <w:tc>
          <w:tcPr>
            <w:tcW w:w="19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29</w:t>
            </w:r>
          </w:p>
        </w:tc>
      </w:tr>
    </w:tbl>
    <w:p>
      <w:pPr>
        <w:spacing w:after="0" w:line="3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Accounts receivable are recorded at their transaction amounts and do not bear interest. The Company bases its allowance for credit losses on management's best estimate of the amount of probable credit losses in the Company's existing accounts receivable based on historical collection experience and current and expected future economic and market conditions.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Short-term investments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maturities of three months or less from the date of purchase. Cash equivalents include investments in term deposits, commercial papers and money market funds that can be redeemed immediately at the current net asset value.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with maturities of more than three months but less than one year from the date of purchase are included in short-term investments. Such short-term investments include investments in term deposits and commercial papers.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accounts for investments in debt securities in accordance with ASC No. 320, "</w:t>
      </w:r>
      <w:r>
        <w:rPr>
          <w:rFonts w:ascii="Times New Roman" w:cs="Times New Roman" w:eastAsia="Times New Roman" w:hAnsi="Times New Roman"/>
          <w:sz w:val="18"/>
          <w:szCs w:val="18"/>
          <w:i w:val="1"/>
          <w:iCs w:val="1"/>
          <w:color w:val="auto"/>
        </w:rPr>
        <w:t>Investments - Debt Securities</w:t>
      </w:r>
      <w:r>
        <w:rPr>
          <w:rFonts w:ascii="Times New Roman" w:cs="Times New Roman" w:eastAsia="Times New Roman" w:hAnsi="Times New Roman"/>
          <w:sz w:val="18"/>
          <w:szCs w:val="18"/>
          <w:color w:val="auto"/>
        </w:rPr>
        <w:t>". The Company determines the appropriate classification of its investments at the time of purchase and reevaluates such designation at each balance sheet date. Unrealized gains and losses, net of tax, reported in accumulated other comprehensive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82" w:lineRule="auto"/>
        <w:rPr>
          <w:sz w:val="20"/>
          <w:szCs w:val="20"/>
          <w:color w:val="auto"/>
        </w:rPr>
      </w:pPr>
      <w:r>
        <w:rPr>
          <w:rFonts w:ascii="Times New Roman" w:cs="Times New Roman" w:eastAsia="Times New Roman" w:hAnsi="Times New Roman"/>
          <w:sz w:val="18"/>
          <w:szCs w:val="18"/>
          <w:color w:val="auto"/>
        </w:rPr>
        <w:t>income (loss) in shareholders' equity (deficit). Gains and losses are determined using the specific identification method and recognized when realized in the consolidated statements of comprehensive loss.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periodically evaluates its available-for-sale debt securities for impairment in accordance with ASU 2016-13, </w:t>
      </w:r>
      <w:r>
        <w:rPr>
          <w:rFonts w:ascii="Times New Roman" w:cs="Times New Roman" w:eastAsia="Times New Roman" w:hAnsi="Times New Roman"/>
          <w:sz w:val="18"/>
          <w:szCs w:val="18"/>
          <w:i w:val="1"/>
          <w:iCs w:val="1"/>
          <w:color w:val="auto"/>
        </w:rPr>
        <w:t>Financial Instruments -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 Measurement of Credit Losses on Financial Instruments</w:t>
      </w:r>
      <w:r>
        <w:rPr>
          <w:rFonts w:ascii="Times New Roman" w:cs="Times New Roman" w:eastAsia="Times New Roman" w:hAnsi="Times New Roman"/>
          <w:sz w:val="18"/>
          <w:szCs w:val="18"/>
          <w:color w:val="auto"/>
        </w:rPr>
        <w:t>. If the amortized cost of an individual security exceeds its fair value,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considers its intent to sell the security or whether it is more likely than not that it will be required to sell the security before recovery of its amortized basis. If either of these criteria are met, the Company writes down the security to its fair value and records the impairment charge in the Consolidated Statements of Comprehensive Loss. If neither of these criteria are met, the Company assesses whether credit loss exists. In making this assessment, the Company considers the extent to which fair value is less than amortized cost, any changes to the rating of the security by a rating agency, and any adverse conditions specifically related to the security, among other factors. If this assessment indicates that a credit loss may exist,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will be recorded, limited by the amount that the fair value is less than the amortized cost basis. Any additional impairment not recorded through an allowance for credit losses is recognized in other 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there were no credit losses.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deposits to secure obligations under the Company's operating lease agreements and to secure company-issued credit cards.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states property and equipment at cost. The Company computes depreciation using the straight-line method over the estimated useful lives of the respective assets or, in the case of leasehold improvements, the lease term of the respective assets, whichever is shorter. The Company examines fully depreciated assets annually and writes off those no longer in use.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depreciation periods for the Company's property and equipment are as follows:</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580" w:type="dxa"/>
            <w:vAlign w:val="bottom"/>
            <w:tcBorders>
              <w:bottom w:val="single" w:sz="8" w:color="CCEEFF"/>
            </w:tcBorders>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to 11 years</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to 14 years</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aircraft</w:t>
            </w: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175"/>
        </w:trPr>
        <w:tc>
          <w:tcPr>
            <w:tcW w:w="6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Leasehold improvements</w:t>
            </w:r>
          </w:p>
        </w:tc>
        <w:tc>
          <w:tcPr>
            <w:tcW w:w="3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Shorter of the estimated useful life or</w:t>
            </w:r>
          </w:p>
        </w:tc>
      </w:tr>
      <w:tr>
        <w:trPr>
          <w:trHeight w:val="234"/>
        </w:trPr>
        <w:tc>
          <w:tcPr>
            <w:tcW w:w="658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remaining term of lease</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reviews internal use software development costs associated with infrastructure and new games or significant updates to existing games to determine if the costs qualify for capitalizing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development costs incurred during the application development stage that are related to infrastructure are capitalized. Internal use software is included in intangible assets other than goodwill, net in the accompanying consolidated balance sheets. Capitalization of such costs begins when the preliminary project stage is completed and ceases at the point in which the project is substantially complete and is ready for its intended purpose. For new games or updates to existing games, the development costs are expensed as incurred to research and development in the consolidated statements of comprehensive income, as the preliminary project stage continues until just prior to worldwide launch.</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internal use software costs were approximately $28.8 million, $32.9 million and $40.4 million during the years ending December 31, 2025, 2024 and 2023, respectively. The estimated useful life of costs capitalized is generally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years. During the years ended December 31, 2025, 2024 and 2023, the amortization of capitalized software costs totaled approximately $33.3 million, $30.7 million and $31.7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allocates the fair value of purchase consideration to the tangible assets acquired, liabilities assumed or incurred, and intangible assets acquired based on their estimated fair values. The excess of the fair value of purchase consideration over the fair values of these identifiable assets and liabilities is recorded as goodwill. When determining the fair values of assets acquired and liabilities assumed or incurred, management makes significant estimates and assumptions, especially with respect to intangible assets.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estimates in valuing certain intangible assets include, but are not limited to future expected cash flows from acquired technology, acquired trademarks and user base from a market participant perspective, useful lives and discount rates. Management's estimates of fair value are based upon assumptions believed to be reasonable, but which are inherently uncertain and unpredictable.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business combinations include an earnout payment or contingent consideration that embodies an unconditional obligation for the Company to transfer assets on a specific agreed-upon date, that liability is measured at estimated fair value as of the acquisition date and as of each reporting date until the obligation is resolved. Significant estimates in valuing such liabilities include, but are not limited to, future financial models and discount rates. Management’s estimates of fair value are based upon assumptions believed to be reasonable, but which are inherently uncertain and unpredictable and, as a result, actual results may differ from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in a business combination over the fair value of the net tangible and intangible assets acquired. Under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goodwill is not amortized, but rather is subject to an annual impairment test.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as of October 1st of each year, or more frequently if events or changes in circumstances indicate that this asset may be impaired. For the purposes of impairment testing, the Company has determined that it has one reporting unit. When performing the annual goodwill impairment testing, the Company either conducts a qualitative assessment to determine whether it is more likely than not that the asset is impaired, or elects to bypass this qualitative assessment and perform a quantitative test for impairment. Under the qualitative assessment, the Company considers both positive and negative factors, including macroeconomic conditions, industry events, financial performance and other changes, and makes a determination of whether it is more likely than not that the fair value of goodwill is less than its carrying amount. If, after assessing the qualitative factors, the Company determines it is more likely than not the asset is impaired, it then performs a quantitative test in which the estimated fair value of the reporting unit is compared with its carrying amount, including goodwill. If the carrying amount of the reporting unit exceeds its estimated fair value, an impairment loss is recognized in an amount equal to the excess, limited to the amount of goodwill allocated to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other than goodwill, net</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using the straight-line method, using the following ranges of useful lives: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bottom w:val="single" w:sz="8" w:color="CCEEFF"/>
            </w:tcBorders>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games and acquired technology</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to 10 years</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user base</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to 5 years</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Company’s long-lived assets to be held or used, including right-of-use (“ROU”) assets, and identifiable intangible assets that are subject to amortization are tested for impairment whenever events or changes in circumstances indicate that the carrying amount of an asset may not be recoverable, in accordance with ASC 360, </w:t>
      </w:r>
      <w:r>
        <w:rPr>
          <w:rFonts w:ascii="Times New Roman" w:cs="Times New Roman" w:eastAsia="Times New Roman" w:hAnsi="Times New Roman"/>
          <w:sz w:val="18"/>
          <w:szCs w:val="18"/>
          <w:i w:val="1"/>
          <w:iCs w:val="1"/>
          <w:color w:val="auto"/>
        </w:rPr>
        <w:t>Accounting for the Impairment or Disposal of Long-Lived Assets</w:t>
      </w:r>
      <w:r>
        <w:rPr>
          <w:rFonts w:ascii="Times New Roman" w:cs="Times New Roman" w:eastAsia="Times New Roman" w:hAnsi="Times New Roman"/>
          <w:sz w:val="18"/>
          <w:szCs w:val="18"/>
          <w:color w:val="auto"/>
        </w:rPr>
        <w:t>. Impairment indicators include any significant changes in the manner of the Company’s use of the assets and significant negative industry or economic trends. When impairment indicators exist, the Company evaluates recoverability of an asset group by a comparison of the aggregate undiscounted projection future cash flows to the carrying amounts of the asset group. If such evaluation indicates that the carrying amount of the asset group is not recoverable, an impairment loss is calculated based on the excess of the carrying amount of the assets group over its estimated fair value. Fair value is generally estimated based on a discounted cash flow analysis. During the years ended December 31, 2025 and 2024, the Company recorded impairments related to long-lived assets in the amounts of $1.8 million and $2.7 million, respectively. There were no impairments of long-lived assets in the year ended December 31,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is the lessee under non-cancelable office real estate and data center leases. The Company accounts for its leases under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and determines if a contract contains a lease at inception or modification of a contract. Operating lease right-of-use (“ROU”) assets represent the Company’s right to use an underlying asset for the lease term and operating lease liabilities represent the Company’s obligation to make lease payments arising from the lease. ROU assets and liabilities are recognized at the commencement date based on the present value of lease payments and lease incentives received over the defined lease term. As the Company’s leases do not generally provide an implicit rate, the Company uses its incremental borrowing rate which is estimated based upon the capital structure of the Company and upon the other information available at the lease commencement date in determining the present value of lease payments. The implicit rate is used when readily determinable. The Company’s lease terms may include options to extend the lease. These options are included in the lease terms when management believes it is reasonably certain they will be exercised. The ROU assets also include any prepaid lease payments and net of lease incentives. Lease expense for lease payments is recognized on a straight-line basis over the lease term. The Company’s real estate lease agreements and data center leases do not contain any material residual value guarantees, restrictions or covenants. The Company’s lease agreements with lease and non-lease components are accounted for separately. The Company does not record an asset or liability for operating leases with a term of 12 months or less.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derives revenue from the sale of virtual items associated with online games. The Company distributes its games to the end customer through various web and mobile platforms such as Apple, Google, and other web and mobile platforms, as well as through its own Direct-to-Consumer platform. Through these platforms, users can download the Company’s free-to-play games and can purchase virtual currency which is redeemed in the game for virtual goods, or players can purchase virtual goods directly (collectively referred to as virtual items) to enhance their game-playing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experience.</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initial download of the games does not create a contract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however, the separate election by the player to make an in-application purchase satisfies the ASC 606 criterion for creating a contract.</w:t>
      </w:r>
    </w:p>
    <w:p>
      <w:pPr>
        <w:jc w:val="both"/>
        <w:spacing w:after="0" w:line="253" w:lineRule="auto"/>
        <w:rPr>
          <w:sz w:val="20"/>
          <w:szCs w:val="20"/>
          <w:color w:val="auto"/>
        </w:rPr>
      </w:pPr>
      <w:r>
        <w:rPr>
          <w:rFonts w:ascii="Times New Roman" w:cs="Times New Roman" w:eastAsia="Times New Roman" w:hAnsi="Times New Roman"/>
          <w:sz w:val="18"/>
          <w:szCs w:val="18"/>
          <w:color w:val="auto"/>
        </w:rPr>
        <w:t>Players can pay for their virtual item purchases through various widely accepted payment methods offered in the games. Payments from players for virtual items are required at the time of purchase, are non-refundable and relate to non-cancellable contracts that specify the Company’s obligations and cannot be redeemed for cash nor exchanged for anything other than virtual items within the Company’s games. The purchase price is a fixed amount which reflects the consideration that the Company expects to be entitled to receive in exchange for use of virtual items by its customers. The platform providers collect proceeds from the game players and remit the proceeds to the Company after deducting their respective platform fees.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primarily responsible for providing the virtual items, has control over the content and functionality of games and has the discretion to establish the virtual items’ prices. Therefore, the Company is the principal and, accordingly revenues are recorded on a gross basis. Payment processing fees paid to platform providers are recorded within cost of revenue. The Company’s performance obligation is to display the virtual items within the game over the estimated life of the paying player or until the virtual item is consumed in game play based upon the nature of the virtual item.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categorizes its virtual items as either consumable or durable. The substantial majority of the Company’s games sell only consumable virtual items. Consumable virtual items represent items that can be consumed by a specific player action and do not provide the player any continuing benefit following consumption. For the sale of consumable virtual items, the Company recognizes revenue as the items are consumed which is usually over a period of time of up to one month. The Company has determined through a review of game play behavior that players generally do not purchase additional consumable virtual currency until their existing consumable virtual currency balances have been substantially consumed. This review, performed on a game-by-game basis, includes an analysis of game players’ historical play behavior, purchase behavior, and the amount of virtual currency outstanding. Based upon this analysis, the Company has estimated the rate at which virtual currency is consumed during game play. Accordingly, revenue is recognized using a user-based revenue model using these estimated consumption rates. The Company monitors its analysis of customer play behavior on a quarterly basis.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Durable virtual items represent items that are accessible to the player over an extended period of time. The Company recognizes revenue from the sale of durable virtual items ratably over the estimated average life of the paying player, which is estimated on an individual game basis and generally ranges from six months to twelve months. The Company estimates the average life of the paying player based on historical paying player patterns and playing behaviors within each of the specific games that offer durable virtual items. The Company monitors its operational data and player patterns and re-assesses its estimates on a quarterly basis.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which represent a contract liability, represent mostly unrecognized fees collected for virtual items which are not consumed at the balance sheet date, or for players that are still active in the games.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other taxes collected from customers on behalf of governmental authorities are accounted for on a net basis and are not included in revenues or operating expenses.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elected to apply the practical expedient such that it does not evaluate payment terms of one year or less for the existence of a significant financing component.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has relationships with certain advertising service providers for advertisements within its games and revenue from these advertising providers is generated through impressions, clickthroughs, banner ads and offers. The Company has determined that displaying the advertisements within the mobile games is identified as a single performance obligation. The transaction price in advertising arrangements is established by our advertising service providers and is generally the product of the number of advertising units delivered (e.g. impressions, offers completed, etc.) and the contractually agreed upon price per unit. Revenue from advertisements and offers are recognized at a point-in-time when the advertisements are displayed in the game or the offer has been completed by the user. The Company has determined that it is generally acting as an agent in its advertising arrangements as the advertising service providers maintain the relationship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the customers, control the pricing of the advertising such that the Company does not know the total price paid by the customer to the service providers, and control the advertising product through the time the advertisements are displayed in the Company’s games. Therefore, the Company recognizes revenue related to these arrangements on a net basis.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for marketing and advertising of the Company’s games are primarily expensed as incurred and are included in the sales and marketing expenses in the Company’s consolidated statements of comprehensive income. Such costs primarily consist of player acquisition costs. Advertising expense was $760.8 million, $563.8 million and $451.8 million in the years ended December 31, 2025,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stock-based compensation program which provides for equity awards including time-based stock options, restricted stock units (“RSUs”) and performance stock units (“PSUs”). Stock-based compensation expense is measured at the grant date, based on the estimated fair value of the award, and is recognized as expense on a straight-line basis over the requisite service period for options, RSUs and certain PSUs, and on an accelerated basis for some PSUs with performance or market conditions. The Company records forfeitures as a reduction of stock-based compensation expense as those forfeitures occur.</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used the associated per-share value at the time of grant to determine the compensation cost to be recognized associated with grants of RSUs and PSUs prior to the commencement of the Company paying dividends, and the Black-Scholes option pricing model to estimate the grant-date fair value associated with all stock options. For grants of RSUs and certain PSUs subsequent to the commencement of the Company paying dividends, the Company estimates the fair value for compensation cost using the value of its common stock on the date of grant, reduced by the present value of dividends expected to be paid on its shares of common stock prior to vesting. For PSUs without market conditions, the Company reviews the estimates of performance against the defined criteria to assess the expected payout of each outstanding PSU grant quarterly, or more frequently if events or changes in circumstances indicate there may be a change, and adjusts the stock compensation expense accordingly.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Monte Carlo pricing model to estimate grant-date fair value associated with PSUs measured against a market condition. Stock compensation expense related to PSUs with market conditions is recognized unless the requisite service period is not fulfilled.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estimate of the grant-date fair value is affected by the following assumptions regarding complex and subjective variables. Any changes in these assumptions may materially affect the estimated fair value of the stock-based award.</w:t>
      </w:r>
    </w:p>
    <w:p>
      <w:pPr>
        <w:spacing w:after="0" w:line="189"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Fair value of common stock - The Company uses the public trading price of its common stock on the Nasdaq stock market to determine the fair value of its common stock.</w:t>
      </w:r>
    </w:p>
    <w:p>
      <w:pPr>
        <w:spacing w:after="0" w:line="188"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Risk-free interest rate - The risk-free interest rate is estimated based on the U.S. Treasury yield curve in effect at the time of grant and with maturities consistent with the expected term of the respective equity award.</w:t>
      </w:r>
    </w:p>
    <w:p>
      <w:pPr>
        <w:spacing w:after="0" w:line="188"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Expected dividend yield - The fair value of all options and RSUs granted prior to February 2024 was determined based upon the assumption that we would not pay cash dividends on shares of our common stock. Subsequent to this date, the Company estimates the dividend yield based on the expected annual dividend per share divided by the closing stock price on the grant date.</w:t>
      </w:r>
    </w:p>
    <w:p>
      <w:pPr>
        <w:spacing w:after="0" w:line="202"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Expected term - For options, the Company estimated the expected term based on the average time between the vesting date and expiration date, ten years after the grant date, of the respective equity option award. For RSUs, the Company estimated the expected term, typically two to three years, based on the average time between the grant date and the final vesting date of the respective RSU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2" w:name="page103"/>
    <w:bookmarkEnd w:id="102"/>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Expected volatility – Prior to obtaining sufficient trading history of its own stock, the Company estimated volatility based on the volatilities exhibited by comparable public companies and the Company’s capital structure and utilized the observable data for a group of peer companies that grant options with substantially similar terms to assist in developing its volatility assumptions.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factors change and the Company employs different assumptions, stock-based compensation cost on future awards may differ significantly from what the Company has recorded in the past. Higher volatility and longer expected terms result in an increase to stock-based compensation determined at the date of grant. Future stock-based compensation cost and unrecognized stock-based compensation will increase to the extent that the Company grants additional equity awards to employees or assumes unvested equity awards in connection with acquisitions. If there are any modifications or cancellations of the underlying unvested equity awards, the Company may be required to accelerate any remaining unearned stock-based compensation cost or incur incremental cost.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RSUs, shares are issued on the vesting dates net of the applicable statutory income tax withholding to be paid by the Company on behalf of its employees. As a result, fewer shares are generally issued than the number of RSUs vesting, and the income tax withholding is recorded as a reduction to additional paid-in capital.</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Company’s stock-based compensation expense is recorded in the financial statement line item relevant to each of the award recipients.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Transactions and Stock Incentive Plan, </w:t>
      </w:r>
      <w:r>
        <w:rPr>
          <w:rFonts w:ascii="Times New Roman" w:cs="Times New Roman" w:eastAsia="Times New Roman" w:hAnsi="Times New Roman"/>
          <w:sz w:val="18"/>
          <w:szCs w:val="18"/>
          <w:color w:val="auto"/>
        </w:rPr>
        <w:t>for additional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 and liability account balances are determined based on differences between financial reporting and tax bases of assets and liabilities and are measured using the enacted tax rates and laws that are expected to be in effect when the differences will reverse. The Company provides a valuation allowance, if necessary, to reduce deferred tax assets to the amount that is more likely than not to be realized. Deferred tax assets and deferred tax liabilities are presented under long-term assets and long-term liabilities, respectively.</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need to establish valuation allowances for deferred tax assets is assessed periodically based on the more likely than not realization threshold. This assessment considers, among other matters, the nature, frequency and severity of current and cumulative losses, forecasts of future profitability, the duration of statutory carryforward periods, the Company’s experience with operating loss and tax credit carryforwards expiring unused and tax planning alternatives.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Cuts and Jobs Act (“TCJA”) subjects a U.S. shareholder to tax on global intangible low-taxed income (“GILTI”) earned by certain foreign subsidiaries. The Company can make an accounting policy election to either treat taxes due on the GILTI inclusion as a current period expense or factor such amounts into the measurement of deferred taxes. The Company elected to account for the income tax effects of GILTI as a “period cost,” or an income tax expense in the year the tax is incurred.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interest and penalties on income taxes (which includes uncertain tax positions) as taxes on income.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related benefits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Appreciation and retention plan</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2019, the Company adopted the Playtika Holding Corp. Retention Plan (the “2021-2024 Retention Plan”) in order to retain key employees and reward them for contributing to the success of the Company. Under the 2021-2024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3" w:name="page104"/>
    <w:bookmarkEnd w:id="10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Plan, eligible employees were granted retention units that let them receive their pro rata portion of a retention pool of $25 million per year for each of the plan years, and were also granted appreciation units which allow the employee to receive their pro-rata portion of an appreciation pool calculated as a specified percentage of Retention Plan Adjusted EBITDA for each of the plan years as described further in </w:t>
      </w:r>
      <w:r>
        <w:rPr>
          <w:rFonts w:ascii="Times New Roman" w:cs="Times New Roman" w:eastAsia="Times New Roman" w:hAnsi="Times New Roman"/>
          <w:sz w:val="18"/>
          <w:szCs w:val="18"/>
          <w:i w:val="1"/>
          <w:iCs w:val="1"/>
          <w:color w:val="auto"/>
        </w:rPr>
        <w:t>Note 20, Appreciation and Retention Plans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value of each unit of the 2021-2024 Retention Plan is being amortized into compensation expense using the straight-line method, which will result in the recognition of compensation costs in the same years as the underlying EBITDA used in the plan measurement is earned.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pay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Israeli subsidiaries have elected to include their Israeli employees under Section 14 of the Severance Pay Law 5723-1963 (“Section 14”). Section 14 entitles these employees to monthly deposits with third-party insurance companies and pension funds, at a rate of 8.33% of their monthly salary. In two cases, the Company and the employee have agreed to a salary lower than their actual monthly salary for purposes of Section 14. These payments release the Company from future obligations under the Israeli Severance Pay Law for all employees, other than the aforementioned two employees. Accordingly, any liability for severance pay due to these employees, and the deposits under Section 14 are not recorded as an asset in the Company’s consolidated balance sheet.</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 resulting from contributions in accordance with Section 14 for the years ended December 31, 2025, 2024 and 2023 was $10.8 million, $8.4 million and $7.6 million, respectively, and is recorded in respective functional line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Exit or disposal activities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accounts for exit or disposal cost obligations, including restructuring activities, under ASC 420-10,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which requires that companies only record liabilities for such activities when such liabilities have been incurred.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interest rate swap contracts to reduce its exposure to fluctuating interest rates associated with the Company’s variable rate debt, and to effectively increase the portion of debt upon which the Company pays a fixed interest rate. The Company’s interest rate swap agreements are designated as cash flow hedges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involving the receipt of variable amounts from a counterparty in exchange for the Company making fixed-rate payments over the life of the agreement, without the exchange of the underlying notional amount. These hedges are highly effective in offsetting changes in the Company’s future expected cash flows due to the fluctuation of the Company’s variable rate debt.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monitors the effectiveness of its hedges on a quarterly basis, both qualitatively and quantitatively. The Company performed a regression analysis at inception of the hedging relationship and at period end in which it compared the change in the fair value of the swap transactions and the change in fair value of a hypothetical interest rate swap having terms that identically match the terms of the debt's interest rate payments based on historical swap rates. Based upon this analysis, the Company concluded that the hedging instruments are expected to be highly effective at offsetting changes in the hedged transactions attributable to the risk being hedged. For each future reporting period, the Company will continue performing retrospective and prospective assessments of hedge effectiveness in a single regression analysis by updating the regression analysis that was prepared at the inception of the hedging relationship.</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foreign currency derivative contracts to reduce its exposure to fluctuating exchange rates between the United States dollar (as the Company’s functional currency) and certain expense lines denominated in Euros (“EUR”), Israeli Shekels (“ILS”), Polish Zloty (“PLN”) and Romanian Leu (“RON”). The Company’s derivative contracts are designated as cash flow hedges under ASC 815. The Company monitors the effectiveness of its hedges on a quarterly basis, both qualitatively and quantitatively, and expects these hedges to remain highly effective at offsetting fluctuations in exchange rates through their respective maturity dates. See </w:t>
      </w:r>
      <w:r>
        <w:rPr>
          <w:rFonts w:ascii="Times New Roman" w:cs="Times New Roman" w:eastAsia="Times New Roman" w:hAnsi="Times New Roman"/>
          <w:sz w:val="18"/>
          <w:szCs w:val="18"/>
          <w:i w:val="1"/>
          <w:iCs w:val="1"/>
          <w:color w:val="auto"/>
        </w:rPr>
        <w:t>Note 15, Derivative Instruments,</w:t>
      </w:r>
      <w:r>
        <w:rPr>
          <w:rFonts w:ascii="Times New Roman" w:cs="Times New Roman" w:eastAsia="Times New Roman" w:hAnsi="Times New Roman"/>
          <w:sz w:val="18"/>
          <w:szCs w:val="18"/>
          <w:color w:val="auto"/>
        </w:rPr>
        <w:t xml:space="preserve"> for additional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fair value of derivative financial instruments is recognized as an asset or liability at each balance sheet date, with changes in fair value recorded in other comprehensive income on the consolidated statements of comprehensive income until the future underlying transactions occur. The fair value approximates the amount the Company would pay or receive if these contracts were settled at the respective valuation dates. The inputs used to measure the fair value of the Company’s interest rate swap agreements and foreign currency derivative contracts are categorized as Level 2 in the fair value hierarchy as established by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derivatives, which are designated as accounting hedges, are presented consistently with the cash flow classification of the related hedged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fair value in accordance with ASC 820.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Company uses a three tier hierarchy, which prioritizes the inputs used in measuring fair value as follows: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52"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that are observable or can be corroborated by observable market data for substantially the full term of the assets or liabilities.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accounts receivable and payables and the Company's cash and cash equivalents and restricted cash, approximates fair value due to the short time to expected payment or receipt of cash.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 attributable to common stockholders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periods presented herein, basic net income per share is calculated by dividing net income by the weighted-average common shares outstanding. Diluted net income per share reflects the effect of all potentially dilutive common shares outstanding by dividing net income by the weighted-average of all common and potentially dilutive shares outstanding. PSUs are considered potentially dilutive as of the first day of the reporting period in which the underlying performance metric is achieved. In the event of a loss, diluted shares are not considered because of their anti-dilutive effect. The Company uses the treasury stock method on a grant-by-grant basis as the method for determining the dilutive effect of options, RSUs and PSUs. Under this method, it is assumed that the hypothetical proceeds received upon settlement are used to repurchase common shares at the average market price during the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 by the Company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2023-09 requires that public business entities expand their annual disclosures related to rate reconciliation and income taxes paid, and provide a disaggregated presentation between domestic and foreign income or loss from continuing operations before income tax expense and income tax expense or benefit from continuing operations. The Company adopted this standard as of January 1, 2025 on a retrospective basis. The adoption of this standard affected disclosures in </w:t>
      </w:r>
      <w:r>
        <w:rPr>
          <w:rFonts w:ascii="Times New Roman" w:cs="Times New Roman" w:eastAsia="Times New Roman" w:hAnsi="Times New Roman"/>
          <w:sz w:val="18"/>
          <w:szCs w:val="18"/>
          <w:i w:val="1"/>
          <w:iCs w:val="1"/>
          <w:color w:val="auto"/>
        </w:rPr>
        <w:t>Note 22, Income Taxes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provides a practical expedient when estimating expected credit losses for current accounts receivable and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 assets arising from transactions accounted for under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The practical expedient assumes that current conditions as of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5" w:name="page106"/>
    <w:bookmarkEnd w:id="105"/>
    <w:p>
      <w:pPr>
        <w:jc w:val="both"/>
        <w:spacing w:after="0" w:line="282" w:lineRule="auto"/>
        <w:rPr>
          <w:sz w:val="20"/>
          <w:szCs w:val="20"/>
          <w:color w:val="auto"/>
        </w:rPr>
      </w:pPr>
      <w:r>
        <w:rPr>
          <w:rFonts w:ascii="Times New Roman" w:cs="Times New Roman" w:eastAsia="Times New Roman" w:hAnsi="Times New Roman"/>
          <w:sz w:val="18"/>
          <w:szCs w:val="18"/>
          <w:color w:val="auto"/>
        </w:rPr>
        <w:t>date do not change for the remaining life of the assets. The Company adopted this standard as of January 1, 2026. The adoption of this standard did not have a significant impact on the Company’s consolidated financial statements or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 by the Company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ASU 2024-03 requires that public business entities disclose more detailed information about types of expenses in commonly presented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This guidance is effective for annual reporting periods beginning after December 31, 2026, and for interim reporting periods beginning after December 15, 2027. The Company is currently evaluating the impact of adopting ASU 2024-03.</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ASU 2025-06 requires public companies to apply property, plant, and equipment-style disclosure requirements to internal-use software costs, eliminate stage-based capitalization models, and begin capitalizing software development costs once management commits to funding a project and completion is probable under the new “probable-to-complete” threshold. This guidance is effective for annual periods beginning after December 15, 2027. The Company is currently evaluating the impact of adopting ASU 2025-06.</w:t>
      </w:r>
    </w:p>
    <w:p>
      <w:pPr>
        <w:spacing w:after="0" w:line="20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SuperPlay Ltd.</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20, 2024, Playtika Holding Corp. (the “Company”) and Playtika Ltd. (“Playtika Limited”), a wholly owned subsidiary of the Company, completed Playtika Limited’s previously announced acquisition (the “Transaction”) of all of the issued and outstanding share capital of SuperPlay Ltd. (“SuperPlay”) pursuant to that certain Share Purchase Agreement (the “Purchase Agreement”), dated September 18, 2024 by and among the Company, Playtika Limited, SuperPlay, the shareholders of SuperPlay (the “Sellers”) and Gigi Levy-Weiss, as the shareholder representative, for an aggregate purchase price equal to (i) $700.0 million, payable at the closing of the Transaction, subject to certain post-closing adjustments, plus (ii) earnout payments of up to $1.250 billion, the amounts of which will be based on certain gross revenue growth and Adjusted EBITDA metrics of SuperPlay (“SuperPlay Adjusted EBITDA”) during the calendar years 2025, 2026 and 2027, in each case, payable following the end of the applicable measurement period. In addition, the Company granted approximately $50 million to SuperPlay’s employees in accordance with the Transaction terms, which is expected to vest and be expensed over up to four years.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accounted for this acquisition as a business combination. As such, management has recorded the identified assets and liabilities at their respective fair value. The excess of the fair value of purchase consideration over the fair values of these identifiable assets and liabilities was recorded as goodwill. The purchase consideration also included a liability classified contingent consideration, measured at fair value through earnings. The Company finalized the purchase accounting valuation in the fourth quarter of 2025.</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adjusted goodwill, other current assets and deferred tax asset. Other than these adjustments, there were no other material changes to the initial purchase price allocation.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which is non-deductible for tax purposes, is generally attributable to synergies between the Company's and SuperPlay's respective studio operations and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or incurred (in millions):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9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Consideration</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1,054.9</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Cash acquired</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97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Acquisition date fair value of contingent consideration</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9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Less: Deferred consideration</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97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Consideration paid as of November 20, 2024</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 or incurred</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assets other than goodwill</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 asset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consideration</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Liabilities assumed</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97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identifiable assets acquired and liabilities assumed or incurred</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686.9</w:t>
            </w:r>
          </w:p>
        </w:tc>
      </w:tr>
      <w:tr>
        <w:trPr>
          <w:trHeight w:val="20"/>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developed game assets acquired and included in the above table are being amortized on a straight-line basis over their estimated useful life of seven years, which approximates the pattern in which the economic benefits of the intangible assets are expected to be realized.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its contingent consideration as of the acquisition date using a Monte Carlo simulation. The significant assumptions used in the model include revenue volatility of 20%, discount rate of 14.3% and a risk free rate of 4.7%.</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costs incurred by the Company in connection with the SuperPlay acquisition, were approximately $13.4 million for the year ended December 31, 2024, and were recorded within general and administrative expenses in the consolidated statements of comprehensive income. The Company’s statement of comprehensive income for the year ended December 31, 2024, includes $47.6 million of revenue and $8.8 million of net loss attributed to SuperPlay from the date of acquisition through December 31,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Share Purchase Agreement was amended to adjust certain covenants. During the year ended December 31, 2025, the Company recorded $379.4 million of expense to adjust contingent consideration associated with the SuperPlay Acquisition to its estimated fair value of $734.0 million as of December 31, 2025, which is comprised of $454.0 million in current Contingent consideration and $280.0 million in long-term Contingent consideration on the accompanying consolidated balance sheet.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results of operations of the Company as if the SuperPlay acquisition had occurred on January 1, 2023, and includes adjustments primarily related to recognition of transaction and retention costs, amortization of acquired intangible assets, and recognition of stock-based compensation associated with PSU awards that would have been achieved based on 2023 pro forma financial results. The unaudited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jc w:val="both"/>
        <w:spacing w:after="0" w:line="266" w:lineRule="auto"/>
        <w:rPr>
          <w:sz w:val="20"/>
          <w:szCs w:val="20"/>
          <w:color w:val="auto"/>
        </w:rPr>
      </w:pPr>
      <w:r>
        <w:rPr>
          <w:rFonts w:ascii="Times New Roman" w:cs="Times New Roman" w:eastAsia="Times New Roman" w:hAnsi="Times New Roman"/>
          <w:sz w:val="18"/>
          <w:szCs w:val="18"/>
          <w:color w:val="auto"/>
        </w:rPr>
        <w:t>forma financial information is based on preliminary estimates and assumptions and on the information available at the time of the preparation thereof. Any of these preliminary estimates and assumptions may change, be revised or prove to be materially different, and the estimates and assumptions may not be representative of facts existing at the time of the SuperPlay acquisition.</w:t>
      </w:r>
    </w:p>
    <w:p>
      <w:pPr>
        <w:spacing w:after="0" w:line="20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color w:val="auto"/>
        </w:rPr>
        <w:t>The information has been prepared by management for illustrative purposes only and does not purport to represent what the results of operations, financial condition or other financial information of the Company would have been if SuperPlay acquisition had occurred as of the dates assumed, nor are they necessarily indicative of future consolidated results of operations.</w:t>
      </w:r>
    </w:p>
    <w:p>
      <w:pPr>
        <w:spacing w:after="0" w:line="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19685</wp:posOffset>
            </wp:positionV>
            <wp:extent cx="19113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w:t>
            </w:r>
          </w:p>
        </w:tc>
      </w:tr>
      <w:tr>
        <w:trPr>
          <w:trHeight w:val="25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(loss)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G.S InnPlay Labs Ltd.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14, 2023, the Company entered into a Share Purchase Agreement (the “InnPlay Purchase Agreement”) pursuant to which the Company agreed to acquire all of the issued and outstanding share capital of G.S InnPlay Labs Ltd. (“InnPlay”) for an aggregate purchase price equal to (i) $80 million, subject to customary closing adjustments, and (ii) earnout payments of up to $220 million, the amounts of which will be based on certain revenue growth performance metrics of InnPlay during the two years following the closing of the transaction. The acquisition transaction closed on September 28, 2023 and was accounted for as a business combination. On June 18, 2024, the Company and InnPlay signed the first amendment to the InnPlay Purchase Agreement which reduces the maximum cap on the total potential earnout consideration from $220 million to $170 million and adjusted certain of the associated underlying performance metrics.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is consistent with the Company’s strategy to increase its breadth of entertainment genres and leverage the Company’s technology platforms and live operations expertise to enhance game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accompanying consolidated financial statements, management has recorded the assets acquired and liabilities assumed or incurred in the acquisition, along with an estimate of the fair value for contingent consideration payable, based upon management’s financial models for this acquisition, and upon similar allocations from prior acquisitions. This valuation was finalized during the fourth quarter 2023.</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 final valuation procedures, the estimated fair value of contingent consideration at the acquisition date was decreased from the Company’s initial estimates by $12 million, with a corresponding decrease to goodwill. The formal valuation also allowed the Company to conclude on and record the value of the intangible assets acquired other than goodwill of $14.8 million, with a corresponding decrease to goodwill. Other than these two measurement period adjustments, there were no other material changes to the initial purchase price allocation resulting from the finalization of the valuation process within the measurement period.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which is non-deductible for tax purposes, is generally attributable to synergies between the Company's and InnPlay's respective studio operations and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or incurred (in millions):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9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Consideration</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Cash acquired</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97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30"/>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Deferred 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97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Less: Acquisition date fair value of contingent consideration</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48"/>
        </w:trPr>
        <w:tc>
          <w:tcPr>
            <w:tcW w:w="97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Consideration paid as of September 28, 2023</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 or incurred</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assets other than goodwill</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 asset</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consideration</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liability</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Liabilities assumed</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97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identifiable assets acquired and liabilities assumed or incurred</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r>
      <w:tr>
        <w:trPr>
          <w:trHeight w:val="20"/>
        </w:trPr>
        <w:tc>
          <w:tcPr>
            <w:tcW w:w="9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costs incurred by the Company in connection with the InnPlay acquisition were approximately $1.3 million for the year ended December 31, 2023, and were recorded within general and administrative expenses in the consolidated statements of comprehensive income. Pro forma results of operations for this acquisition subsequent to the September 28, 2023 acquisition date have not been presented because the incremental results from InnPlay, both individually and when aggregated with Youda pro forma results of operations, are not material to the consolidated statements of comprehensive income presented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Youda Games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28, 2023, the Company completed the acquisition of the Youda Games (the “Youda Games”) portfolio from Azerion Group N.V. consistent with the Company’s strategy to increase its breadth of entertainment genres and leverage the Company’s technology platforms and live operations. Terms of the acquisition agreement include initial cash consideration of EUR 81.3 million plus an earnout based on the performance of the acquired business, with a maximum total consideration of EUR 150 million, subject to customary adjustments. The acquisition was accounted for as a business combination.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accompanying consolidated financial statements, management has recorded the assets acquired and liabilities assumed or incurred in the acquisition, along with its estimate of the fair value for contingent consideration payable, based upon management’s financial models for this acquisition, and upon similar allocations from prior acquisitions. This valuation was finalized during the fourth quarter 2023 with no material adjustments from the Company’s initial estimates.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goodwill, which is deductible for tax purposes, is generally attributable to synergies between the Company's and Youda Game's respective studio operations and games.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9" w:name="page110"/>
    <w:bookmarkEnd w:id="109"/>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or incurred (in millions):</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9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9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Acquisition date fair value of contingent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7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Consideration paid as of August 28, 2023</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87.5</w:t>
            </w:r>
          </w:p>
        </w:tc>
      </w:tr>
      <w:tr>
        <w:trPr>
          <w:trHeight w:val="20"/>
        </w:trPr>
        <w:tc>
          <w:tcPr>
            <w:tcW w:w="9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9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 or incurred</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assets other than goodwill</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19"/>
                <w:szCs w:val="19"/>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7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identifiable assets acquired and liabilities assumed or incurred</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87.5</w:t>
            </w:r>
          </w:p>
        </w:tc>
      </w:tr>
      <w:tr>
        <w:trPr>
          <w:trHeight w:val="20"/>
        </w:trPr>
        <w:tc>
          <w:tcPr>
            <w:tcW w:w="9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developed game assets acquired and included in the above table are being amortized on a straight-line basis over their estimated useful life of eight years, which approximates the pattern in which the economic benefits of the intangible assets are expected to be realized.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costs incurred by the Company in connection with the Youda Games acquisition, were approximately $1.6 million for the year ended December 31, 2025, and were recorded within general and administrative expenses in the consolidated statements of comprehensive income. Pro forma results of operations for this acquisition subsequent to the August 28, 2023 acquisition date have not been presented because the incremental results from Youda Games, both individually and when aggregated with InnPlay pro forma results of operations, are not material to the consolidated statements of comprehensive income presented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 transactions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2024 and 2023, the Company made a small number of minority investments in early-stage high-growth potential game developers, all of which are accounted for as investments in unconsolidated affiliates.</w:t>
      </w:r>
    </w:p>
    <w:p>
      <w:pPr>
        <w:sectPr>
          <w:pgSz w:w="11900" w:h="16838" w:orient="portrait"/>
          <w:cols w:equalWidth="0" w:num="1">
            <w:col w:w="11240"/>
          </w:cols>
          <w:pgMar w:left="320" w:top="1440" w:right="339" w:bottom="1440" w:gutter="0" w:footer="0" w:header="0"/>
        </w:sectPr>
      </w:pP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CASH EQUIVALENTS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at December 31, 2025 and 2024 are as follow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 papers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Total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19113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3"/>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56"/>
        </w:trPr>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56"/>
        </w:trPr>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1440" w:right="339" w:bottom="1440" w:gutter="0" w:footer="0" w:header="0"/>
          <w:type w:val="continuous"/>
        </w:sectPr>
      </w:pP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unrealized losses related to marketable securities were determined to be not due to credit related losses. Therefore, the Company did not recognize an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0" w:name="page111"/>
    <w:bookmarkEnd w:id="110"/>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SHORT-TERM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 at December 31, 2025 are as follows (in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54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 credit</w:t>
            </w: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 gains,</w:t>
            </w:r>
          </w:p>
        </w:tc>
        <w:tc>
          <w:tcPr>
            <w:tcW w:w="120" w:type="dxa"/>
            <w:vAlign w:val="bottom"/>
          </w:tcPr>
          <w:p>
            <w:pPr>
              <w:spacing w:after="0"/>
              <w:rPr>
                <w:sz w:val="13"/>
                <w:szCs w:val="13"/>
                <w:color w:val="auto"/>
              </w:rPr>
            </w:pPr>
          </w:p>
        </w:tc>
        <w:tc>
          <w:tcPr>
            <w:tcW w:w="1340" w:type="dxa"/>
            <w:vAlign w:val="bottom"/>
          </w:tcPr>
          <w:p>
            <w:pPr>
              <w:jc w:val="right"/>
              <w:ind w:right="31"/>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 losses,</w:t>
            </w:r>
          </w:p>
        </w:tc>
        <w:tc>
          <w:tcPr>
            <w:tcW w:w="0" w:type="dxa"/>
            <w:vAlign w:val="bottom"/>
          </w:tcPr>
          <w:p>
            <w:pPr>
              <w:spacing w:after="0"/>
              <w:rPr>
                <w:sz w:val="1"/>
                <w:szCs w:val="1"/>
                <w:color w:val="auto"/>
              </w:rPr>
            </w:pPr>
          </w:p>
        </w:tc>
      </w:tr>
      <w:tr>
        <w:trPr>
          <w:trHeight w:val="214"/>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20" w:type="dxa"/>
            <w:vAlign w:val="bottom"/>
          </w:tcPr>
          <w:p>
            <w:pPr>
              <w:spacing w:after="0"/>
              <w:rPr>
                <w:sz w:val="18"/>
                <w:szCs w:val="18"/>
                <w:color w:val="auto"/>
              </w:rPr>
            </w:pPr>
          </w:p>
        </w:tc>
        <w:tc>
          <w:tcPr>
            <w:tcW w:w="13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gross</w:t>
            </w:r>
          </w:p>
        </w:tc>
        <w:tc>
          <w:tcPr>
            <w:tcW w:w="0" w:type="dxa"/>
            <w:vAlign w:val="bottom"/>
          </w:tcPr>
          <w:p>
            <w:pPr>
              <w:spacing w:after="0"/>
              <w:rPr>
                <w:sz w:val="1"/>
                <w:szCs w:val="1"/>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Company did not hold short-term investments at December 31, 2024.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at December 31, 2025 and 2024 are as follows (in millions):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authorities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6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 interest rate swaps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6"/>
        </w:trPr>
        <w:tc>
          <w:tcPr>
            <w:tcW w:w="51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 at December 31, 2025 and 2024 are as follow (in millions):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peripheral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aircraft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$46.8 million, $46.5 million and $45.7 million in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GOODWILL</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goodwill for the years ended December 31, 2025 and 2024 were as follows (in millions):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99"/>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w:t>
            </w: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r>
      <w:tr>
        <w:trPr>
          <w:trHeight w:val="229"/>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Adjustment to purchase price allocation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1 of each year, the Company performed its annual goodwill impairment analysis. Accordingly, during the years ended December 31, 2025, 2024 and 2023, no impairment charge was recognized.</w:t>
      </w: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INTANGIBLE ASSETS OTHER THAN GOODWILL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and accumulated amortization expenses of the acquired intangible assets other than goodwill, net, including the impact of foreign currency exchange translation, at December 31, 2025 and 2024 were as follows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354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980" w:type="dxa"/>
            <w:vAlign w:val="bottom"/>
            <w:tcBorders>
              <w:top w:val="single" w:sz="8" w:color="auto"/>
            </w:tcBorders>
            <w:gridSpan w:val="2"/>
          </w:tcPr>
          <w:p>
            <w:pPr>
              <w:jc w:val="center"/>
              <w:ind w:right="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9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remaining useful</w:t>
            </w:r>
          </w:p>
        </w:tc>
        <w:tc>
          <w:tcPr>
            <w:tcW w:w="280" w:type="dxa"/>
            <w:vAlign w:val="bottom"/>
          </w:tcPr>
          <w:p>
            <w:pPr>
              <w:spacing w:after="0"/>
              <w:rPr>
                <w:sz w:val="15"/>
                <w:szCs w:val="15"/>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8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Historical cost basis:</w:t>
            </w:r>
          </w:p>
        </w:tc>
        <w:tc>
          <w:tcPr>
            <w:tcW w:w="1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games and acquired technology</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Trademarks and user base</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Internal use software</w:t>
            </w:r>
          </w:p>
        </w:tc>
        <w:tc>
          <w:tcPr>
            <w:tcW w:w="1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Developed games and acquired technology</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Trademarks and user base</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Internal use software</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Intangible assets other than goodwill, net</w:t>
            </w: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included amortization of acquired intangible assets directly attributable to revenue-generating activities in cost of revenue. The Company has included amortization of acquired intangible assets not directly attributable to revenue-generating activities in operating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recorded amortization expense in the amounts of $188.0 million, $119.2 million and $112.3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$1.4 million of impairment to intangible assets in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right="20"/>
        <w:spacing w:after="0" w:line="282" w:lineRule="auto"/>
        <w:rPr>
          <w:sz w:val="20"/>
          <w:szCs w:val="20"/>
          <w:color w:val="auto"/>
        </w:rPr>
      </w:pPr>
      <w:r>
        <w:rPr>
          <w:rFonts w:ascii="Times New Roman" w:cs="Times New Roman" w:eastAsia="Times New Roman" w:hAnsi="Times New Roman"/>
          <w:sz w:val="18"/>
          <w:szCs w:val="18"/>
          <w:color w:val="auto"/>
        </w:rPr>
        <w:t>In the fourth quarter of 2024, the Company recorded an impairment charge of $29.9 million related to the Redecor game title based upon continued lower than expected performance of that title. The Company had previously recorded an impairment of $41.6 million on this title in the third quarter of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2023, the Company recorded an intangible asset impairment of $9.7 million related to JustPlay.LOL Ltd’s game title.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the total expected future amortization related to intangible assets was as follows (in millions):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OTHER NON-CURRENT ASSETS</w:t>
            </w: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at December 31, 2025 and 2024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assets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 on interest rate swaps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other non-current assets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ACCRUED EXPENSES AND OTHER CURRENT 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2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at December 31, 2025 and 2024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Employees and related expenses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 buy</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accruals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OTHER LONG-TERM LIABILITIES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at December 31, 2025 and 2024 are as follows (in millions):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99"/>
        </w:trPr>
        <w:tc>
          <w:tcPr>
            <w:tcW w:w="8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reserves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loss on interest rate swaps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other long-term liabilities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12.</w:t>
        <w:tab/>
        <w:t>LEASES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leases include office real estate and data center leases for its facilities worldwide, which are all classified as operating leases, and which expire on various dates, the latest of which is December 2035. Certain lease agreements include rental payments that are adjusted periodically for the consumer price index ("CPI"). The Company’s ROU assets and lease liabilities were calculated using the initial CPI and will not be subsequently adjusted. Any increases or decreases in lease payments resulting from subsequent changes in the CPI are expensed as incurred. Certain leases include renewal options that management believes are reasonably certain to be exercised.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weighted average remaining lease terms and discount rates for all of the Company's operating leases: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expense was $27.8 million, $23.9 million and $23.3 million for the years ended December 31, 2025,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$28.1 million, $24.6 million and $18.4 million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respectively.</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$1.0 million, $0.6 million and $0.1 million of income in December 31, 2025, 2024 and 2023 respectively, related to the subleases for office space with a weighted average remaining lease term of 3.1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are as follows (in millions):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DEBT</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gridSpan w:val="5"/>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6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6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interest rates)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Interest rate</w:t>
            </w:r>
          </w:p>
        </w:tc>
        <w:tc>
          <w:tcPr>
            <w:tcW w:w="200" w:type="dxa"/>
            <w:vAlign w:val="bottom"/>
          </w:tcPr>
          <w:p>
            <w:pPr>
              <w:spacing w:after="0"/>
              <w:rPr>
                <w:sz w:val="23"/>
                <w:szCs w:val="2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220" w:type="dxa"/>
            <w:vAlign w:val="bottom"/>
          </w:tcPr>
          <w:p>
            <w:pPr>
              <w:spacing w:after="0"/>
              <w:rPr>
                <w:sz w:val="23"/>
                <w:szCs w:val="2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160" w:type="dxa"/>
            <w:vAlign w:val="bottom"/>
          </w:tcPr>
          <w:p>
            <w:pPr>
              <w:spacing w:after="0"/>
              <w:rPr>
                <w:sz w:val="23"/>
                <w:szCs w:val="23"/>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 value of debt in the table above is reported net of deferred issuance costs and original issue discount of $20.7 million and $28.7 million at December 31, 2025 and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10, 2019, the Company entered into $2,750 million of senior secured credit facilities (the "Credit Facilities"), consisting of a $250 million revolving credit facility (the "Revolving Credit Facility"), and a $2,500 million first lien term loan (the "Old Term Loan"). The Credit Facilities were provided pursuant to a Credit Agreement, dated as of December 10, 2019 (the "Credit Agreement"), by and among Playtika, the lenders party thereto, and UBS AG, Stamford Branch (as successor in interest to Credit Suisse, AG, Cayman Islands Branch), as administrative agent (in such capacity, the "Administrative Agent") and collateral agent (in such capacity, the "Collateral Agent"). Proceeds borrowed under the Credit Facilities on the closing date were used to pay off the outstanding balance on the Company’s prior debt facility. On June 15, 2020, the Company increased the capacity of the Revolving Credit Facility to $350 million. On January 15, 2021, the Company increased the borrowing capacity of the Revolving Credit Facility from $350 million to $550 million.</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11, 2021, the Company amended the Credit Agreement pursuant to an Incremental Assumption Agreement No. 3 and Second Amendment to Credit Agreement (the “Second Amendment”). The Second Amendment, among other things, effected a refinancing of the Old Term Loan with a new $1.9 billion senior secured first lien term loan borrowed under the Credit Agreement (the “New Term Loan”), increased the Revolving Credit Facility to $600 million and extended the maturity of the Revolving Credit Facility to March 11, 2026. The New Term Loan matures on March 11, 2028 and requires scheduled quarterly principal payments in amounts equal to 0.25% of the original aggregate principal amount of the New Term Loan, with the balance due at maturity.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2025, the Company entered into a Fourth Amendment (the “Fourth Amendment”) to the Credit Agreement which, among other things, (a) amended the Pricing Grid (as defined in the Credit Agreement) for the Company’s revolving credit facility under the Credit Agreement (the “Revolving Credit Facility”), and (b) decreased the aggregate principal amount of the Revolving Credit Facility from $600 million to $550 million. The Fourth Amendment was also intended to extend the maturity of the Revolving Credit Facility to September 11, 2027, subject to the Credit Agreement being filed and registered with the National Development and Reform Commission of the People’s Republic of China (the “NDRC”) unless the NDRC states in writing that such registration is not required. This filing requirement with the NDRC is required of the Company’s controlling shareholder due to the fact that the controlling shareholder is controlled by a citizen of the People’s Republic of China. On December 9, 2025, the Company’s controlling shareholder elected to withdraw its filing of the Credit Agreement with the NDRC and, as a result, the maturity of the Revolving Credit Facility was not extended under the Fourth Amendment.</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2026, the Company entered into an Incremental Assumption Agreement No. 4 and Fifth Amendment (the “Fifth Amendment”) to the Credit Agreement which, among other things, will effect a refinancing of the Company’s existing $550 million revolving credit facility under the Credit Agreement (the “New Revolving Credit Facility”) on March 11, 2026 subject to the satisfaction of certain conditions set forth therein. The New Revolving Credit Facility will mature on March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2027. Other than the revised maturity date, the New Revolving Credit Facility retains the same material terms as the Company’s existing revolving credit facility immediately prior to the effectiveness of the Fifth Amendment.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Agreement allows the Company to request one or more incremental term loan facilities, incremental revolving credit facilities and/or increases to the New Term Loan or the Revolving Credit Facility in an aggregate amount of up to the sum of (x) the greater of (1) $800 million and (2) 1.00 times EBITDA (as defined in the Credit Agreement) plus (y) the amount of certain voluntary prepayments of indebtedness plus (z) such additional amount so long as, (i) in the case of loans under additional credit facilities that are secured by liens on the collateral securing the Credit Agreement, the Company's net total secured leverage ratio on a pro forma basis would not exceed 3.50 to 1.00 (or in the case of incremental facilities to fund certain investments and acquisitions, the net total secured leverage ratio immediately prior to such incurrence) and (iii) in the case of any other loans under additional credit facilities, the Company's fixed charge coverage ratio on a pro forma basis would not be less than 2.00 to 1.00 (or in the case of incremental facilities to fund certain investments and acquisitions, the fixed charge coverage ratio immediately prior to such incurrence), in each case, subject to certain conditions and receipt of commitments by existing or additional financial institutions or institutional lenders.</w:t>
      </w:r>
    </w:p>
    <w:p>
      <w:pPr>
        <w:spacing w:after="0" w:line="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All future borrowings under the Credit Agreement are subject to the satisfaction of customary conditions, including the absence of a default and the accuracy of representations and warranties, subject to certain exceptions.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Fourth Amendment in 2025, borrowings under the Revolving Credit Facility bear interest at a rate equal to, at the Company’s option, either (a) a forward-looking term rate based on the secured overnight financing rate for the applicable interest period (“Term SOFR”), subject to a floor of 0.00% or (b) a base rate determined by reference to the highest of (i) the federal funds rate plus 0.50%, (ii) the prime rate as determined by the administrative agent and (iii) the one-month Term SOFR plus 1.00% per annum, in each case plus an applicable margin. Such applicable margin with respect to the Revolving Credit Facility is 3.00% per annum in the case of any Term SOFR loan and 2.00% per annum in the case of any base rate loan, subject to three 0.25% step-downs based on the Company’s first lien net leverage ratio.</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a quarterly basis, the Company is required to pay each lender under the Revolving Credit Facility a commitment fee in respect of any unused commitments under the Revolving Credit Facility in the amount of 0.50% of the principal amount of the unused commitments of such lender, subject to two 0.125% step-downs based on the Company’s first lien net leverage ratio. The Company is also required to pay customary agency fees as well as letter of credit participation fees on outstanding letters of credit.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19, 2023, the Company amended the Credit Agreement pursuant to a Third Amendment to Credit Agreement (the “Third Amendment”). The Third Amendment amended the Credit Agreement to bear interest or incur fees and other amounts denominated in Dollars to be based on the Adjusted Term Secured Overnight Financing Rate (“SOFR”) plus an applicable spread adjustment, rather than the previously permitted Adjusted Eurocurrency Rate, starting in the third quarter of 2023. The amendment did not have an impact on the Company’s consolidated financial statements or the effectiveness of the Company’s interest rate swap agreements.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on a quarterly basis, the Company is required to pay each lender under the Revolving Credit Facility a commitment fee in respect of any unused commitments under the Revolving Credit Facility in the amount of 0.50% of the principal amount of the daily unused commitments of such lender, subject to step-downs to 0.375% and 0.25% based upon the Company's senior secured leverage ratio. The Company is also required to pay customary agency fees as well as letter of credit participation fees on outstanding letters of credit.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permits voluntary prepayments and requires mandatory prepayments in certain events including among others, 50% (subject to step-downs to 25% and 0% based upon the Company’s net total secured leverage ratio) of the Company’s excess cash flow to the extent such amount exceeds $10 million, certain net cash proceeds from non-ordinary asset sale transactions (subject to reinvestment rights), and 100% of net proceeds of any issuance of debt (except for debt permitted to be incurred by the Credit Agreement). The Company is not required to make an excess cash flow payment based upon its secured leverage ratio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Collateral and Guarantors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borrowings under the Credit Agreement are guaranteed by certain material, wholly-owned restricted subsidiaries of the Company, and are secured by a pledge of substantially all of the existing and future property and assets of the Company and the guarantors (subject to exceptions), including a pledge of the capital stock of the domestic subsidiaries held by the Company and the domestic guarantors and 65% (or 100% in the case of certain of the guarantors) of the capital stock of the first-tier foreign subsidiaries held by the Company and the domestic guarantors, in each case subject to exceptions.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requires that the Company and the guarantors (a) generate at least 80.0% of the EBITDA of the Company and its restricted subsidiaries for the four fiscal quarters most recently ended prior to the end of each fiscal quarter and (b) own all “Material Intellectual Property” (defined as any intellectual property rights consisting of registered trademarks or copyrights subsisting in the name or logo of any game that generates more than 5% of the EBITDA of the Company and its restricted subsidiaries for the then most recently ended four fiscal quarters) on the last day of the four fiscal quarters most recently ended prior to the end of each fiscal quarter. If the Company and the guarantors do not satisfy such requirement, then the Company must cause sufficient additional subsidiaries (which, subject to certain limitations, may include guarantors located in jurisdictions other than the United States, England and Wales and the State of Israel) to become guarantors in order to satisfy such requirement. During the year ended December 31, 2021, the Company voluntarily designated certain subsidiaries in Germany, Austria and Finland as additional guarantors. As of December 31, 2025, the Company was in compliance with these requirements.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Restrictive Covenants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Facility includes a maximum first-priority net senior secured leverage ratio financial maintenance covenant of 6.25 to 1.00, calculated as total first lien senior secured net debt divided by Adjusted EBITDA. At December 31, 2025, the Company’s first-priority net senior secured leverage ratio was 1.31 to 1.00 based upon Adjusted EBITDA of $753.2 million and net debt (as defined in the Credit Agreement) of $989.6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Credit Agreement includes negative covenants, subject to certain exceptions, restricting or limiting the Company's ability and the ability of its restricted subsidiaries to, among other things: (i) make non-ordinary course dispositions of assets; (ii) make certain mergers and acquisitions;</w:t>
      </w: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dividends and stock repurchases and optional redemptions (and optional prepayments) of subordinated debt; (iv) incur indebtedness;</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loans and investments; (vi) incur liens and certain fixed charges; (vii) transact with affiliates; (viii) change the business of the Company and its restricted subsidiaries; (ix) enter into sale/leaseback transactions; (x) allow limitations on negative pledges and the ability of restricted subsidiaries to pay dividends or make distributions; (xi) change the fiscal year and (xii) modify subordinated debt documents. Under the Credit Agreement, the Company may be required to meet specified leverage ratios or fixed charge coverage ratios in order to take certain actions, such as incurring certain debt or liens or making certain investments.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its financial and other covenants under the Credit Agreement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of 4.250% Senior Notes due 2029</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Indenture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11, 2021, the Company issued $600.0 million aggregate principal amount of its 4.250% senior notes due 2029 (the “Notes”) under an indenture, dated March 11, 2021 (the “Indenture”), among the Company, the subsidiary guarantors party thereto and Wilmington Trust, National Association, as trustee (the “Trustee”).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and Interest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mature on March 15, 2029. Interest on the Notes will accrue at a rate of 4.250% per annum. Interest on the Notes is payable semi-annually in cash in arrears on March 15 and September 15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Notes are fully and unconditionally guaranteed, jointly and severally, on a senior unsecured basis by the Company’s existing and future restricted subsidiaries that guarantee the obligations under the Credit Agreement (the “subsidiary guarantors”).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and the note guarantees rank equally in right of payment to all of the Company’s and the subsidiary guarantors’ existing and future senior indebtedness and senior in right of payment to all of the Company’s and the subsidiary guarantors’ future subordinated indebtedness. The Notes and the note guarantees are effectively subordinated to any of the Company’s and the subsidiary guarantors’ existing and future secured indebtedness to the extent of the value of the assets securing such indebtedness, including indebtedness outstanding under the Credit Agreement. In addition, the Notes and the note guarantees are structurally subordinated to the existing and future liabilities of the Company’s non-guarantor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redeem the Notes at any time on or after March 15, 2024, in whole or in part, at a redemption price equal to (i) 101.063% of the principal amount thereof, should such redemption occur before March 15, 2026, and (ii) 100.000% of the principal amount thereof, should such redemption occur on or after March 15, 2026, in each case plus accrued and unpaid interest, if any, to, but excluding, the redemption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covenants that limit the Company’s ability and, in certain instances, the ability of the Company’s subsidiaries, to borrow money, create liens on assets, make distributions and pay dividends on or redeem or repurchase stock, make certain types of investments, sell stock in certain subsidiaries, enter into agreements that restrict dividends or other payments from subsidiaries, enter into transactions with affiliates, issue guarantees of indebtedness, and sell assets or merge with other companies. These limitations are subject to a number of important exceptions and qualifications set forth in the Indenture.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the Company must offer to repurchase the Notes at a repurchase price equal to 101% of the aggregate principal amount thereof plus accrued and unpaid interest, if any, to, but excluding, the repurchase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Events of default under the Indenture include, among others, the following with respect to the Notes: default which continues for 30 days in the payment of interest on the Notes; default in payment of the principal of, or premium, if any, on the Notes; failure to comply with certain covenants in the Indenture for 60 days (or 120 days with respect to the covenant relating to the provision of financial reports) upon the receipt of notice from the Trustee or holders of at least 25% in aggregate principal amount of the Notes; acceleration or payment default of indebtedness of the Company or certain of its subsidiaries in excess of a specified amount that remains uncured following the applicable grace period provided in such indebtedness; final judgments against the Company or certain of its subsidiaries in excess of a specified amount that remains unpaid for 45 days; and certain events of bankruptcy or insolvency with respect to the Company or certain of its subsidiaries. In the case of an event of default arising from certain events of bankruptcy or insolvency with respect to the Company or certain of its subsidiaries, all Notes then outstanding will become due and payable immediately without further action or notice. If any other event of default occurs with respect to the Notes, the Trustee or holders of at least 25% in aggregate principal amount of the Notes may declare all Notes then outstanding to be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Scheduled principal payments of long-term debt</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principal payments due on long-term debt are as follows (in millions):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1,771.8</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48"/>
        </w:trPr>
        <w:tc>
          <w:tcPr>
            <w:tcW w:w="97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14.</w:t>
        <w:tab/>
        <w:t>EQUITY TRANSACTIONS AND STOCK INCENTIVE PLAN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rights and privileges of the Company’s common shares:</w:t>
      </w:r>
    </w:p>
    <w:p>
      <w:pPr>
        <w:spacing w:after="0" w:line="250"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The holders of outstanding shares of the Company’s common stock are entitled to receive dividends out of funds legally available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times and in the amounts which its board of directors may determine.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Holders of the Company’s common shares are entitled to one vote per share.</w:t>
      </w:r>
    </w:p>
    <w:p>
      <w:pPr>
        <w:spacing w:after="0" w:line="252"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Upon the Company’s liquidation, dissolution or winding-up, the assets legally available for distribution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would be distributable ratably among the holders of the Company’s common shares.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Preemptive or similar rights </w:t>
      </w:r>
      <w:r>
        <w:rPr>
          <w:rFonts w:ascii="Times New Roman" w:cs="Times New Roman" w:eastAsia="Times New Roman" w:hAnsi="Times New Roman"/>
          <w:sz w:val="18"/>
          <w:szCs w:val="18"/>
          <w:color w:val="auto"/>
        </w:rPr>
        <w:t>– None of the Company’s common shares is entitled to preemptive rights or subject to redemption.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Stock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26, 2020, the Board of Directors of the Company approved the Playtika Holding Corp. 2020 Incentive Award Plan (the “Plan”). The Plan authorizes the issuance of stock options, restricted stock, RSUs, PSUs, dividend equivalents, stock appreciation rights, performance bonus awards and other incentive awards. The Plan authorizes the grant of awards to employees, non-employee directors and consultants of the Company.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a total of 75.6 million shares of the Company’s common stock had been allocated to awards granted under the Plan and 8.4 million shares remained available for future grants. If, on January 1st of each year through January 2030, the number of shares available for grant is less than 3.5% of the total shares of the Company’s outstanding common stock, then the number of shares available for grant will increase to an amount equal to the lesser of (i) 3.5% of the total shares of the Company’s outstanding common stock or (ii) such number of shares determined by the Board of Directors. On January 1, 2026, 2025 and 2024, the number of shares of issuance under the Plan increased by 4.6 million, 12.2 million and 7.2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Repricing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2022, the Compensation Committee of the Board of Directors of the Company approved an amendment to 5,303,242 options granted in 2021 that were scheduled to vest after the first anniversary of the grant date (the “Adjusted Portion”). The Adjusted Portion was amended to reduce the per share exercise prices of such Adjusted Portion to $18.71. The Company accounted for the repricing as a modification and is recording incremental compensation expense of approximately $8.8 million from the time of the repricing through the remaining vesting period. There were no awards included in this repricing to any named executive officers or other executives defined as insiders according to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color w:val="auto"/>
        </w:rPr>
        <w:t>Tender Offer</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29, 2022, the Company announced a tender offer for the purchase of up to 51,813,472 shares of its issued and outstanding common stock, par value $0.01 per share (each, a “Share” and collectively, “Shares”) or such lesser number of Shares as are properly tendered and not properly withdrawn, at a price of $11.58 per Share (the "Tender Offer"). On October 10, 2022, the Company announced that it accepted for purchase 51,813,472 Shares for an aggregate cost of $600 million, excluding fees and expense related to the Tender Offer. The number of shares that the Company has accepted for purchase in the Tender Offer represented approximately 12.6% of the total number of shares that were outstanding as of September 30, 2022. The Company’s shares outstanding and treasury stock are presented, and both basic and diluted earnings per share have been calculated, as if the entire 51,813,472 shares accepted in the Tender Offer were purchased on the closing date of the Tender Offer.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4, July 7 and October 10, 2025, in accordance with approval by the Board of Directors of the Company (“the Board”), the Company paid cash dividends of $0.10 per share of the Company’s outstanding common stock. Additionally, the Board declared a cash dividend of $0.10 per share of the Company’s outstanding common stock, that was paid on January 9, 2026 to stockholders of record as of the close of business on December 26, 2025. The dividend payable amount of $37.7 million is recorded in accrued expenses and other current liabilities at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2024, the Company announced that its Board of Directors authorized a stock repurchase program for up to $150 million of the Company’s common stock. Under the repurchase program, repurchases can be made using a variety of methods, which may include open market purchases, privately negotiated transactions or otherwise. The specific timing, price and size of purchases will depend on prevailing stock prices, general economic and market conditions, and other considerations. The repurchase program does not obligate the Company to acquire any particular amount of common stock, and the repurchase program may be suspended or discontinued at any time at the Company’s discretion. During the year ended December 31, 2025, the Company repurchased approximately 4.4 million shares of its common stock at an average cost of $4.61 per share. As of December 31, 2025, $129.0 million remains available under the Company’s stock repurchase program.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6"/>
        </w:trPr>
        <w:tc>
          <w:tcPr>
            <w:tcW w:w="5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8"/>
                <w:szCs w:val="18"/>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9"/>
        </w:trPr>
        <w:tc>
          <w:tcPr>
            <w:tcW w:w="5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9"/>
                <w:szCs w:val="19"/>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stock options exercised during the years ended December 31, 2025, 2024 or 2023. There were no stock options granted during the years ended December 31,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issue new shares of common stock upon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0" w:name="page121"/>
    <w:bookmarkEnd w:id="120"/>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options, 25% of the options generally vest on the first anniversary of the grant date, and the remaining 75% of the options vest in equal quarterly installments during the three years following the first anniversary of the grant date. The stock options have a contractual term of ten years. Except as provided in an option agreement between the Company and the employee, if an employee is terminated (voluntarily or involuntarily), any unvested awards as of the date of termination will be forfeited.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Total Fair</w:t>
            </w:r>
          </w:p>
        </w:tc>
      </w:tr>
      <w:tr>
        <w:trPr>
          <w:trHeight w:val="216"/>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16"/>
        </w:trPr>
        <w:tc>
          <w:tcPr>
            <w:tcW w:w="6680" w:type="dxa"/>
            <w:vAlign w:val="bottom"/>
          </w:tcPr>
          <w:p>
            <w:pPr>
              <w:spacing w:after="0"/>
              <w:rPr>
                <w:sz w:val="18"/>
                <w:szCs w:val="18"/>
                <w:color w:val="auto"/>
              </w:rPr>
            </w:pP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80" w:type="dxa"/>
            <w:vAlign w:val="bottom"/>
          </w:tcPr>
          <w:p>
            <w:pPr>
              <w:spacing w:after="0"/>
              <w:rPr>
                <w:sz w:val="18"/>
                <w:szCs w:val="18"/>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Shares Vested</w:t>
            </w:r>
          </w:p>
        </w:tc>
      </w:tr>
      <w:tr>
        <w:trPr>
          <w:trHeight w:val="219"/>
        </w:trPr>
        <w:tc>
          <w:tcPr>
            <w:tcW w:w="6680" w:type="dxa"/>
            <w:vAlign w:val="bottom"/>
          </w:tcPr>
          <w:p>
            <w:pPr>
              <w:spacing w:after="0"/>
              <w:rPr>
                <w:sz w:val="19"/>
                <w:szCs w:val="19"/>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3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assumptions used for the RSUs granted in the years ended December 31, 2025 and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36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- 4.22%</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- 4.57%</w:t>
            </w:r>
          </w:p>
        </w:tc>
      </w:tr>
      <w:tr>
        <w:trPr>
          <w:trHeight w:val="25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5.42% - 10.58%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- 5.67%</w:t>
            </w:r>
          </w:p>
        </w:tc>
      </w:tr>
      <w:tr>
        <w:trPr>
          <w:trHeight w:val="26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- 3.6</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RSUs generally vest over three to four years from the grant date with a portion vesting on the first anniversary of the grant date and the remaining vesting in quarterly installments. RSUs granted to the Board of Directors of the Company vest immediately. Except as provided in an award agreement between the Company and the employee, if an employee is terminated (voluntarily or involuntarily), any unvested awards as of the date of termination will be forfeited. RSUs settle for outstanding shares of the Company’s common stock upon vesting.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2022, the Compensation Committee of the Board of Directors of the Company approved the grant of PSUs to certain employees pursuant to the Plan (the “2022 PSUs”). For each annual performance period consisting of calendar years 2022 through 2025, up to 25% of the 2022 PSUs will be eligible to vest based on the Company’s annual revenue growth rate during the applicable performance period relative to threshold, target and maximum achievement levels.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Company’s annual revenue growth rate for a performance period is between two achievement levels, the achievement percentage will be determined by linear interpolation between the applicable achievement levels. Notwithstanding the foregoing, in no event shall less than 25 PSUs vest during each performance period for Israeli participants.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10, 2022, the Compensation Committee of the Board of Directors of the Company approved an amendment to the 2022 PSU agreement resulting in a modification of the PSU awards and stock-based compensation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18, 2024, the Compensation Committee of the Board of Directors of the Company approved PSU grants to certain employees pursuant to the Plan (collectively, the “2024 PSUs”). For each annual performance period consisting of calendar years 2025 through 2027, up to one-third of the 2024 PSUs will be eligible to vest based on certain performance criteria:</w:t>
      </w:r>
    </w:p>
    <w:p>
      <w:pPr>
        <w:spacing w:after="0" w:line="189"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Adjusted EBITDA PSUs - The Company’s Adjusted EBITDA target during the applicable performance periods relative to three defined targets. If the Company’s Adjusted EBITDA for a performance period does not equal or exceed the target set forth, no Adjusted EBITDA PSUs shall vest.</w:t>
      </w:r>
    </w:p>
    <w:p>
      <w:pPr>
        <w:spacing w:after="0" w:line="189"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AGR PSUs - The Company’s annual revenue growth rate (“AGR”) during the applicable performance periods relative to three defined achievement levels.</w:t>
      </w:r>
    </w:p>
    <w:p>
      <w:pPr>
        <w:spacing w:after="0" w:line="189"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TSR PSUs - The Company’s total shareholder return (“TSR”) during the applicable performance periods relative to the three defined achievement levels.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12, 2025, the Compensation Committee of the Board of Directors of the Company approved AGR PSU grants to certain employees pursuant to the Plan (the “2025 PSUs”). For each annual performance period consisting of calendar years 2026 through 2028, up to one-third of the 2025 PSUs will be eligible to vest based on the performance criteria above.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Company’s AGR and TSR results for a performance period are between two achievement levels, the achievement percentage of the AGR PSUs and TSR PSUs will be determined by linear interpolation between the applicable achievement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2" w:name="page123"/>
    <w:bookmarkEnd w:id="122"/>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PSU activity: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Total Fair</w:t>
            </w:r>
          </w:p>
        </w:tc>
      </w:tr>
      <w:tr>
        <w:trPr>
          <w:trHeight w:val="216"/>
        </w:trPr>
        <w:tc>
          <w:tcPr>
            <w:tcW w:w="6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Value of</w:t>
            </w:r>
          </w:p>
        </w:tc>
      </w:tr>
      <w:tr>
        <w:trPr>
          <w:trHeight w:val="220"/>
        </w:trPr>
        <w:tc>
          <w:tcPr>
            <w:tcW w:w="6680" w:type="dxa"/>
            <w:vAlign w:val="bottom"/>
          </w:tcPr>
          <w:p>
            <w:pPr>
              <w:spacing w:after="0"/>
              <w:rPr>
                <w:sz w:val="19"/>
                <w:szCs w:val="19"/>
                <w:color w:val="auto"/>
              </w:rPr>
            </w:pPr>
          </w:p>
        </w:tc>
        <w:tc>
          <w:tcPr>
            <w:tcW w:w="1460" w:type="dxa"/>
            <w:vAlign w:val="bottom"/>
          </w:tcPr>
          <w:p>
            <w:pPr>
              <w:jc w:val="right"/>
              <w:ind w:right="351"/>
              <w:spacing w:after="0" w:line="220" w:lineRule="exact"/>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80" w:type="dxa"/>
            <w:vAlign w:val="bottom"/>
          </w:tcPr>
          <w:p>
            <w:pPr>
              <w:spacing w:after="0"/>
              <w:rPr>
                <w:sz w:val="19"/>
                <w:szCs w:val="19"/>
                <w:color w:val="auto"/>
              </w:rPr>
            </w:pPr>
          </w:p>
        </w:tc>
        <w:tc>
          <w:tcPr>
            <w:tcW w:w="12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Shares Vested</w:t>
            </w:r>
          </w:p>
        </w:tc>
      </w:tr>
      <w:tr>
        <w:trPr>
          <w:trHeight w:val="215"/>
        </w:trPr>
        <w:tc>
          <w:tcPr>
            <w:tcW w:w="668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Pr>
          <w:p>
            <w:pPr>
              <w:spacing w:after="0"/>
              <w:rPr>
                <w:sz w:val="18"/>
                <w:szCs w:val="18"/>
                <w:color w:val="auto"/>
              </w:rPr>
            </w:pPr>
          </w:p>
        </w:tc>
        <w:tc>
          <w:tcPr>
            <w:tcW w:w="12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r>
      <w:tr>
        <w:trPr>
          <w:trHeight w:val="226"/>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2"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number of shares for the PSUs listed as granted represent the total number of PSUs granted to each recipient eligible to vest if the Company meets its highest specified performance</w:t>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goals for the applicable period.</w:t>
      </w:r>
    </w:p>
    <w:p>
      <w:pPr>
        <w:spacing w:after="0" w:line="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Represents an amount less than 0.1 or $0.1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assumptions used for the PSUs granted in the years ended December 31, 2025 and 2024:</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36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- 3.62%</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- 4.31%</w:t>
            </w:r>
          </w:p>
        </w:tc>
      </w:tr>
      <w:tr>
        <w:trPr>
          <w:trHeight w:val="25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21"/>
                <w:szCs w:val="21"/>
                <w:color w:val="auto"/>
              </w:rPr>
            </w:pPr>
          </w:p>
        </w:tc>
        <w:tc>
          <w:tcPr>
            <w:tcW w:w="1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5.62%</w:t>
            </w:r>
          </w:p>
        </w:tc>
      </w:tr>
      <w:tr>
        <w:trPr>
          <w:trHeight w:val="26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believed it probable that the 2026, 2027 and 2028 performance targets of the 2024 PSUs and 2025 PSUs, as outlined in the amended award agreements, would achieve 50% achievement of their respective performance criteria, as defined. Therefore, 50% of the potential expense associated with these awards was recognized or will be recognized over the applicable performance period of the respective tranche.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2026, the Compensation Committee of the Board of Directors of the Company ratified the Company’s Adjusted EBITDA, AGR and TSR performance for 2025 and approved the vesting of 100% of the Adjusted EBITDA PSU and AGR PSU awards eligible to vest for the 2025 performance period. On February 17, 2025, and February 7, 2024, the Board of Directors of the Company ratified the Company’s annual revenue growth rate during 2024 and 2023, respectively. None of the PSU awards eligible to vest for the 2024 or 2023 performance periods were approved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6"/>
        </w:trPr>
        <w:tc>
          <w:tcPr>
            <w:tcW w:w="6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costs by award type (in millions):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668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5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9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summarizes stock-based compensation costs, net of amounts capitalized, as reported on the Company’s consolidated statements of comprehensive income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5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5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5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 net of amounts capitalized</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capitalized $1.0 million, $2.0 million and $3.0 million of stock-based compensation cost,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unrecognized stock-based compensation expenses related to stock options, RSUs and PSUs was approximately $0.3 million, $103.0 million and $20.1 million, respectively. The expense related to stock options, RSUs and PSUs are expected to be recognized over a weighted average period of 0.9 years, 2.6 years and 1.8 years, respectively.</w:t>
      </w:r>
    </w:p>
    <w:p>
      <w:pPr>
        <w:spacing w:after="0" w:line="19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DERIVATIVE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2021, the Company entered into two interest rate swap agreements, each with a notional value of $250 million. Each of these swap agreements is with a different financial institution as the counterparty to reduce the Company’s counterparty risk. The initial terms of each swap required the Company to pay a fixed interest rate of 0.9275% in exchange for receiving one-month LIBOR. In June 2023 these two interest rate swap agreements were amended so that effective July 31, 2023, the Company pays a fixed interest rate of 0.85% in exchange for receiving on-month Term SOFR. The amendment did not impact the hedge effectiveness.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swap agreements settle monthly commencing in April 2021 through their termination dates on April 30, 2026. The estimated fair value of the Company’s interest rate swap agreements is derived from a discounted cash flow analysis.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2023, the Company entered into two additional interest rate swap agreements, each with a notional value of $250 million. Each of these swap agreements is with a different financial institution, and each swap requires the Company to pay a fixed interest rate of 3.435% in exchange for receiving one-month LIBOR for six months and one-month Term SOFR afterwards. The interest rate swap agreements settle monthly commencing in February 2023 through their termination dates on February 28, 2028. The estimated fair value of the Company’s interest rate swap agreements is derived from a discounted cash flow analysis.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fair value of the Company’s interest rate swap agreements was a net asset of $2.8 million as of December 31, 2025 and an asset of $29.2 million as of December 31, 2024 and was recorded in the accompanying consolidated balance</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 xml:space="preserve">sheets based upon the timing of the underlying expected cash flows in amounts detailed in </w:t>
      </w:r>
      <w:r>
        <w:rPr>
          <w:rFonts w:ascii="Times New Roman" w:cs="Times New Roman" w:eastAsia="Times New Roman" w:hAnsi="Times New Roman"/>
          <w:sz w:val="18"/>
          <w:szCs w:val="18"/>
          <w:i w:val="1"/>
          <w:iCs w:val="1"/>
          <w:color w:val="auto"/>
        </w:rPr>
        <w:t>Note 16, Fair Value Measurements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hedge agreements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At December 31, 2025, the Company had outstanding derivative contracts to purchase certain foreign currencies, including EUR, ILS, RON, and PLN at future dates. The amount of future salary and certain operating expenses the Company had hedged was approximately $206.6 million, and all contracts are expected to mature during the upcoming 12 months. The aggregate fair value of the Company’s derivative contracts was a net asset of $12.8 million as of December 31, 2025 and a net liability of $2.2 million as of December 31, 2024 and was recorded in the accompanying consolidated balance sheets in amounts detailed in </w:t>
      </w:r>
      <w:r>
        <w:rPr>
          <w:rFonts w:ascii="Times New Roman" w:cs="Times New Roman" w:eastAsia="Times New Roman" w:hAnsi="Times New Roman"/>
          <w:sz w:val="18"/>
          <w:szCs w:val="18"/>
          <w:i w:val="1"/>
          <w:iCs w:val="1"/>
          <w:color w:val="auto"/>
        </w:rPr>
        <w:t>Note 16, Fair Value Measurements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volume of derivative instrument activity (in millions):</w:t>
      </w:r>
    </w:p>
    <w:p>
      <w:pPr>
        <w:spacing w:after="0" w:line="4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 foreign currency derivative contracts</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57"/>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 interest rate swaps</w:t>
            </w:r>
          </w:p>
        </w:tc>
        <w:tc>
          <w:tcPr>
            <w:tcW w:w="9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5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 others (non-hedging)</w:t>
            </w:r>
          </w:p>
        </w:tc>
        <w:tc>
          <w:tcPr>
            <w:tcW w:w="9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assessment of goodwill and other intangible assets for impairment includes an assessment using various Level 2 (discount rate) and Level 3 (forecasted cash flows) inputs.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measurement of the Company’s long-term debt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100" w:type="dxa"/>
            <w:vAlign w:val="bottom"/>
          </w:tcPr>
          <w:p>
            <w:pPr>
              <w:spacing w:after="0"/>
              <w:rPr>
                <w:sz w:val="14"/>
                <w:szCs w:val="14"/>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1,746.5</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Face Value</w:t>
            </w:r>
          </w:p>
        </w:tc>
        <w:tc>
          <w:tcPr>
            <w:tcW w:w="100" w:type="dxa"/>
            <w:vAlign w:val="bottom"/>
          </w:tcPr>
          <w:p>
            <w:pPr>
              <w:spacing w:after="0"/>
              <w:rPr>
                <w:sz w:val="15"/>
                <w:szCs w:val="15"/>
                <w:color w:val="auto"/>
              </w:rPr>
            </w:pPr>
          </w:p>
        </w:tc>
        <w:tc>
          <w:tcPr>
            <w:tcW w:w="15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5"/>
                <w:szCs w:val="15"/>
                <w:color w:val="auto"/>
              </w:rPr>
            </w:pPr>
          </w:p>
        </w:tc>
        <w:tc>
          <w:tcPr>
            <w:tcW w:w="16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2,372.6</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term loan is based upon the prices at which the Company’s debt traded in the days immediately preceding the balance sheet date. As the trading volume of the Company’s debt is low relative to the overall debt balance, the Company does not believe that the associated transactions represent an active market, and therefore this indication of value represents a level 2 fair value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5" w:name="page126"/>
    <w:bookmarkEnd w:id="125"/>
    <w:p>
      <w:pPr>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assets and liabilities measured at fair value on a recurring basis in the Company’s consolidated balance sheet (in millions):</w:t>
      </w:r>
    </w:p>
    <w:p>
      <w:pPr>
        <w:spacing w:after="0" w:line="1" w:lineRule="exact"/>
        <w:rPr>
          <w:sz w:val="20"/>
          <w:szCs w:val="20"/>
          <w:color w:val="auto"/>
        </w:rPr>
      </w:pPr>
    </w:p>
    <w:tbl>
      <w:tblPr>
        <w:tblLayout w:type="fixed"/>
        <w:tblInd w:w="6520" w:type="dxa"/>
        <w:tblCellMar>
          <w:top w:w="0" w:type="dxa"/>
          <w:left w:w="0" w:type="dxa"/>
          <w:bottom w:w="0" w:type="dxa"/>
          <w:right w:w="0" w:type="dxa"/>
        </w:tblCellMar>
      </w:tblPr>
      <w:tr>
        <w:trPr>
          <w:trHeight w:val="238"/>
        </w:trPr>
        <w:tc>
          <w:tcPr>
            <w:tcW w:w="128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344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1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3"/>
        </w:trPr>
        <w:tc>
          <w:tcPr>
            <w:tcW w:w="12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Category</w:t>
            </w:r>
          </w:p>
        </w:tc>
        <w:tc>
          <w:tcPr>
            <w:tcW w:w="1720" w:type="dxa"/>
            <w:vAlign w:val="bottom"/>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ectPr>
          <w:pgSz w:w="11900" w:h="16838" w:orient="portrait"/>
          <w:cols w:equalWidth="0" w:num="1">
            <w:col w:w="11240"/>
          </w:cols>
          <w:pgMar w:left="320" w:top="1417" w:right="339" w:bottom="1440" w:gutter="0" w:footer="0" w:header="0"/>
        </w:sectPr>
      </w:pP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Term deposits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Commercial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Term deposits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Commercial papers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foreign currency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foreign currency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 instruments - interest rate swaps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Represents an amount less than 0.1 or 0.1</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291.3</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198.5</w:t>
            </w:r>
          </w:p>
        </w:tc>
        <w:tc>
          <w:tcPr>
            <w:tcW w:w="7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7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71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71.8</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w:t>
            </w:r>
          </w:p>
        </w:tc>
        <w:tc>
          <w:tcPr>
            <w:tcW w:w="7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7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7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76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78" w:lineRule="exact"/>
        <w:rPr>
          <w:sz w:val="20"/>
          <w:szCs w:val="20"/>
          <w:color w:val="auto"/>
        </w:rPr>
      </w:pPr>
    </w:p>
    <w:p>
      <w:pPr>
        <w:sectPr>
          <w:pgSz w:w="11900" w:h="16838" w:orient="portrait"/>
          <w:cols w:equalWidth="0" w:num="2">
            <w:col w:w="5880" w:space="720"/>
            <w:col w:w="4640"/>
          </w:cols>
          <w:pgMar w:left="320" w:top="1417" w:right="339" w:bottom="1440" w:gutter="0" w:footer="0" w:header="0"/>
          <w:type w:val="continuous"/>
        </w:sectPr>
      </w:pPr>
    </w:p>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accounts receivable, accounts payables, restricted cash, and the majority of cash equivalents approximates fair value due to the short time to expected payment or receipt of cash.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short-term investments, derivative financial instruments and some cash equivalents within Level 2 because they are valued using inputs other than quoted prices which are directly or indirectly observable in the market, including readily-available pricing sources for the identical underlying security which may not be actively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26" w:name="page127"/>
    <w:bookmarkEnd w:id="126"/>
    <w:p>
      <w:pPr>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payable was valued using significant unobservable inputs (Level 3), was included in the general and administrative expenses in the Company’s consolidated statements of comprehensive income and consisted of the following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Recorded in connection with SuperPlay acquisition</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30"/>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9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adjustments based upon post-acquisition performance</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Reclassification to accrued expenses</w:t>
            </w: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9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Balance as of December 31, 2024</w:t>
            </w:r>
            <w:r>
              <w:rPr>
                <w:rFonts w:ascii="Times New Roman" w:cs="Times New Roman" w:eastAsia="Times New Roman" w:hAnsi="Times New Roman"/>
                <w:sz w:val="23"/>
                <w:szCs w:val="23"/>
                <w:b w:val="1"/>
                <w:bCs w:val="1"/>
                <w:color w:val="auto"/>
                <w:vertAlign w:val="superscript"/>
              </w:rPr>
              <w:t>(1)</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29"/>
        </w:trPr>
        <w:tc>
          <w:tcPr>
            <w:tcW w:w="9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97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Fair value adjustments based upon post-acquisition performance</w:t>
            </w: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r>
      <w:tr>
        <w:trPr>
          <w:trHeight w:val="248"/>
        </w:trPr>
        <w:tc>
          <w:tcPr>
            <w:tcW w:w="97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Balance as of December 31, 2025</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ind w:left="260" w:hanging="252"/>
        <w:spacing w:after="0" w:line="186" w:lineRule="auto"/>
        <w:tabs>
          <w:tab w:leader="none" w:pos="2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Amount comprised of $354.6 million and $25.0 million for SuperPlay and InnPlay acquisitions, respectively.</w:t>
      </w:r>
    </w:p>
    <w:p>
      <w:pPr>
        <w:ind w:left="280" w:hanging="272"/>
        <w:spacing w:after="0" w:line="189" w:lineRule="auto"/>
        <w:tabs>
          <w:tab w:leader="none" w:pos="28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Amount comprised of $734.0 million for SuperPlay acquisition.</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its contingent consideration liabilities using a Monte Carlo simulation to model components of cash flow analyses. The significant assumptions used in the SuperPlay model as of December 31, 2025 include revenue volatility of 20%, discount rate of 12.3% and a risk free rate of 4.8%. These fair value measurements are based on significant inputs not observable in the market and thus represent Level 3 measurements as defined in ASC 820. The extent to which the actual results differ from assumptions made within the Monte Carlo simulation cash flow analysis will result in adjustments to this liability in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elected the fair value measurement option under ASC 825 for any financial assets or liabilities.</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17.</w:t>
        <w:tab/>
        <w:t>COMMITMENTS AND CONTINGENCIES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10, 2023, Playtika Holding UK II Limited, the Company’s controlling shareholder, and certain officers of the Company were sued (Kormos v Playtika Holding UK II Limited, et al.) in the Delaware Chancery Court. The lawsuit alleges generally that the defendants breached fiduciary duties owed to the Company and its stockholders with respect to the controlling shareholder’s indication of an interest in selling some or all of its shares, and the resulting strategic review process and self-tender offer. On August 18, 2023, defendants filed with the Court motions to dismiss the claims. A hearing on the motions to dismiss was held on November 21, 2023. On January 18, 2024, the court denied Playtika Holding UK II Limited’s motion to dismiss in an oral ruling. The court issued a written opinion on May 3, 2024 granting the motion to dismiss the claims against the Company’s officers. The plaintiffs and the remaining defendant agreed to a settlement agreement and submitted the settlement agreement to the Court for approval on October 8, 2025. The Court approved the settlement agreement on January 21, 2026. The terms of the settlement do not involve any financial obligation of the Company and are not expected to have any financial impact to the Company’s financial statements as a whole.</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13, 2023, plaintiff Gina Burt filed a lawsuit against the Company and its subsidiary, Playtika Ltd., in the Circuit Court of Coffee County, Tennessee, alleging that the Company’s social casino-themed games are unlawful gambling under Tennessee law. The lawsuit seeks to recover all amounts paid by Tennessee residents to the Company in connection with its games during the period beginning one year before the filing of the lawsuit until the case is resolved but excluding any residents who spent $75,000 or more during such time period. The plaintiff filed an amended complaint on August 28, 2025. The Company removed the case to federal court on September 29, 2025. In response to a joint motion of the parties, on January 28, 2026, the court entered an order compelling arbitration of plaintiff’s claims. As the case is in preliminary stages, the Company cannot estimate what impact, if any, the litigation may have on its results of operations, financial condition or cash flows. The Company intends to defend this case vigorously.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8, 2023, plaintiff Gayla Hamilton Mills filed a lawsuit against the Company and its subsidiary, Playtika Ltd., in the Circuit Court of Franklin County, Alabama, alleging that the Company’s social casino-themed games are unlawful gambling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7" w:name="page128"/>
    <w:bookmarkEnd w:id="127"/>
    <w:p>
      <w:pPr>
        <w:jc w:val="both"/>
        <w:spacing w:after="0" w:line="254" w:lineRule="auto"/>
        <w:rPr>
          <w:sz w:val="20"/>
          <w:szCs w:val="20"/>
          <w:color w:val="auto"/>
        </w:rPr>
      </w:pPr>
      <w:r>
        <w:rPr>
          <w:rFonts w:ascii="Times New Roman" w:cs="Times New Roman" w:eastAsia="Times New Roman" w:hAnsi="Times New Roman"/>
          <w:sz w:val="18"/>
          <w:szCs w:val="18"/>
          <w:color w:val="auto"/>
        </w:rPr>
        <w:t>under Alabama law. The lawsuit seeks to recover all amounts paid by Alabama residents to the Company in connection with its games during the period beginning one year before the filing of the lawsuit until the case is resolved. After the Company removed the case to the U.S. District Court for the Northern District of Alabama, plaintiff dismissed the complaint and filed a very similar new complaint in the Circuit Court of Franklin County, Alabama on August 25, 2023. The new complaint asserted the same cause of action and bases for relief, but limited the requested recovery to the amounts paid to the Company in connection with its games only by those Alabama residents who spent less than $75,000 during the one year before the filing of the lawsuit until the case is resolved. The court ordered arbitration and stayed the case on August 20, 2025. The parties held a preliminary arbitration conference call on December 5, 2025. As the case is in preliminary stages, the Company cannot estimate what impact, if any, the litigation may have on its results of operations, financial condition or cash flows. The Company intends to defend this case vigorously.</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6, 2025, plaintiff Stuart Mills filed a putative class action lawsuit against the Company and its subsidiary, Playtika Ltd., on behalf of all Alabama-based players of the Company’s games in the Circuit Court of Franklin County, Alabama. The suit, like the suit brought by Gayla Hamilton Mills, alleges that the Company’s casino-themed social games are unlawful gambling under Alabama law. The lawsuit seeks to recover all amounts paid by Alabama residents to the Company in connection with its games during the period beginning one year before the filing of the lawsuit until the case is resolved. The suit was filed by the same counsel who represent Gayla Hamilton Mills. The Company removed the case to the U.S. District Court for the Northern District of Alabama on July 11, 2025. Plaintiff’s motion to remand to state court was filed on August 11, 2025. The court denied the motion to remand and compelled the parties to arbitration on January 20, 2026. Plaintiff filed a petition seeking permission for interlocutory review by the Eleventh Circuit U.S. Court of Appeals of the denial of his motion to remand on January 30, 2026. The Company filed its response to the petition on February 9, 2026. As the case is in preliminary stages, the Company cannot estimate what impact, if any, the litigation may have on its results of operations, financial condition or cash flows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22, 2024, plaintiff Dianne Fuqua filed a lawsuit against the Company and its subsidiary, Playtika Ltd., in the District Court for the Western District of Kentucky, alleging that the Company’s casino-themed social games are unlawful gambling under Kentucky law. The lawsuit seeks to recover three times the amount paid by Kentucky residents to the Company from its games during the period from August 2019 through June 2023 plus interest, costs and any other relief to which plaintiff is entitled to. The Company filed a motion to compel arbitration on July 11, 2025. Plaintiff filed an opposition to the renewed motion on July 25, 2025 and the Company filed its reply on August 8, 2025. The motion remains pending. In addition, on November 21, 2025, the court on its own initiative ordered both parties to submit briefs addressing whether plaintiff possesses Article III (constitutional) standing for purposes of jurisdiction in federal court. The parties submitted simultaneous briefs on December 22, 2025, in response to that order. As the case is in preliminary stages, the Company cannot estimate what impact, if any, the litigation may have on its results of operations, financial condition or cash flows. The Company intends to defend this case vigorously.</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2025, plaintiff Andrew Wright filed a putative class action lawsuit against the Company and its subsidiary, Playtika Ltd., in the U.S. District Court for the District of Utah, alleging that the Company’s social casino-themed games are unlawful gambling under Utah law. The lawsuit seeks to recover twice the amount of economic losses suffered by Utah residents to the Company in connection with its social casino-themed games plus interest and attorneys’ fees. The Company filed a motion to compel arbitration on February 17, 2026. As the case is in preliminary stages, the Company cannot estimate what impact, if any, the litigation may have on its results of operations, financial condition or cash flows. The Company intends to defend this case vigorously.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29, 2025, plaintiff William Barbarino filed a putative class action lawsuit against the Company and its subsidiary, Playtika Ltd., in the U.S. District Court for the District of New Jersey, alleging that the Company’s social casino-themed games are unlawful gambling under federal and New Jersey law. The lawsuit seeks to recover up to three times the amount of economic losses suffered by New Jersey residents to the Company in connection with its social casino-themed games plus interest, attorneys’ fees and other relief the plaintiff and the putative class may be entitled to. The parties filed a joint stipulation and proposed order submitting the claims to arbitration, staying the case and preserving the parties’ positions on January 27, 2026. As the case is in preliminary stages, the Company cannot estimate what impact, if any, the litigation may have on its results of operations, financial condition or cash flows. The Company intends to defend this case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8" w:name="page129"/>
    <w:bookmarkEnd w:id="128"/>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2025, we received a letter from the Attorney General of the State of Washington alleging that our social casino-themed and bingo-themed games violate state gambling and consumer protection laws, and requesting that we pay certain monetary penalties and prevent those games from being available to play in the state in the future. The Attorney General initiated a lawsuit in King County Superior Court in the State of Washington on February 3, 2026, against the Company and several of its subsidiaries asserting those same allegations. The Attorney General is seeking injunctive and declaratory relief, recovery of monies spent by Washington players in the games, civil statutory penalties, costs and fees, and other relief. As the case is in preliminary stages, the Company cannot estimate what impact, if any, the litigation may have on its results of operations, financial condition or cash flows. The Company intends to defend this case vigorously.</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8, 2025, the Company received pre-arbitration notices from another law firm purporting to represent 3,860 claimants who have played the Company’s games and intend to file arbitration demands alleging that the Company’s social casino-themed games violate state laws against gambling and that the games use false, deceptive and misleading practices. The notice demands the payment of the greater of $5,000 or the actual amount of in-game losses for the claimants, plus punitive and other damages and attorneys’ fees as well as the cessation of the alleged unlawful conduct. On August 5, 2025, we were notified that the law firm was continuing to solicit claimants and that they now represented 4,688 claimants. On November 4, 2025, the law firm filed arbitration demands on behalf of 1,642 claimants.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2026, the Company received pre-arbitration notices from another law firm purporting to represent 3,061 claimants who have played the Company’s games and intend to file arbitration demands alleging that the Company’s games violate state laws against gambling, that the games use unfair and deceptive practices and that the Company has been unjustly enriched. The notice demands the full restitution of all amounts expended by the claimants, restitution and disgorgement, interest, and other damages and attorneys’ fees. As of the date hereof, the Company lacks adequate information to assess the nature or validity of these claims. As such, the Company cannot estimate what impact, if any, these claims may have on its results of operations, financial condition or cash flows. The Company intends to defend these claims vigorously.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8, 2025, Toni Morrow filed a putative class action complaint in the United States District Court for the Western District of Washington against SuperPlay Ltd., relating to the game </w:t>
      </w:r>
      <w:r>
        <w:rPr>
          <w:rFonts w:ascii="Times New Roman" w:cs="Times New Roman" w:eastAsia="Times New Roman" w:hAnsi="Times New Roman"/>
          <w:sz w:val="18"/>
          <w:szCs w:val="18"/>
          <w:i w:val="1"/>
          <w:iCs w:val="1"/>
          <w:color w:val="auto"/>
        </w:rPr>
        <w:t>Dice Dreams</w:t>
      </w:r>
      <w:r>
        <w:rPr>
          <w:rFonts w:ascii="Times New Roman" w:cs="Times New Roman" w:eastAsia="Times New Roman" w:hAnsi="Times New Roman"/>
          <w:sz w:val="18"/>
          <w:szCs w:val="18"/>
          <w:color w:val="auto"/>
        </w:rPr>
        <w:t>. The complaint alleges, among other things, that the game constitutes unlawful gambling under Washington law and includes unfair and deceptive practices in connection with in-game purchase offers and purported “sales”, and seeks, inter alia, injunctive relief and restitution. The matter is in its preliminary stages. Accordingly, the Company cannot estimate what impact, if any, it may have on its results of operations, financial condition or cash flows. The Company intends to defend this matter vigorously.</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December 10, 2025, Maor Ben Shoshan filed a Motion for Certification of a class action lawsuit in the District Court in Central Lod, Israel, against Playtika Group Israel Ltd. (“PGI”), alleging misleading price presentation in connection with in-app purchases offered to Israeli users in U.S. dollars in several Playtika games, including </w:t>
      </w:r>
      <w:r>
        <w:rPr>
          <w:rFonts w:ascii="Times New Roman" w:cs="Times New Roman" w:eastAsia="Times New Roman" w:hAnsi="Times New Roman"/>
          <w:sz w:val="18"/>
          <w:szCs w:val="18"/>
          <w:i w:val="1"/>
          <w:iCs w:val="1"/>
          <w:color w:val="auto"/>
        </w:rPr>
        <w:t>Slotomania, House of Fun, Caesars Slots</w:t>
      </w:r>
      <w:r>
        <w:rPr>
          <w:rFonts w:ascii="Times New Roman" w:cs="Times New Roman" w:eastAsia="Times New Roman" w:hAnsi="Times New Roman"/>
          <w:sz w:val="18"/>
          <w:szCs w:val="18"/>
          <w:color w:val="auto"/>
        </w:rPr>
        <w:t>, and others, resulting in higher final charges due to undisclosed foreign currency conversion rates and related fees. The lawsuit seeks NIS 18,357 in personal damages to the petitioner and approximately NIS 28 million in damages to the tentative class or approximately USD $8.8 million, using the exchange rate of NIS 3.19: USD $1.00, which was the exchange rate in effect on December 31, 2025. A pre-trial hearing on the motion is scheduled for September 9, 2026, and PGI is required to submit its response to the motion within 90 days. As these claims are in preliminary stages, the Company cannot estimate what impact, if any, they may have on its results of operations, financial condition or cash flows. The Company intends to defend these claims vigorously.</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5, 2026, Daniela Beninati filed a putative class action in the Federal Court of Australia (Victoria Registry) against the Company, alleging that certain of our social casino-themed games constitute unlawful interactive gambling services under the Australian Interactive Gambling Act 2001 (Cth), and that the Company engaged in misleading or deceptive conduct and unconscionable conduct in violation of the Australian Consumer Law in connection with the marketing and monetization of such games. The complaint seeks, inter alia, declaratory and injunctive relief, restitution of amounts paid for in-game virtual currency by Australian-based users, damages, interest and costs. The matter is in its preliminary stages. Accordingly, the Company cannot estimate what impact, if any, it may have on its results of operations, financial condition or cash flows. The Company intends to defend this matter vigorously.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9" w:name="page130"/>
    <w:bookmarkEnd w:id="129"/>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 March 26, 2024, the Tel Aviv 3 Tax Office (the “ITA”) issued an assessment order (the “2017 Assessment Order”) to Playtika Ltd. for tax year 2017 alleging that Playtika Ltd. should have applied a higher tax rate to certain income and denying certain tax credits. The 2017 Assessment Order claimed that, as of March 26, 2024, Playtika Ltd. was obliged to pay additional taxes (including interest and CPI linkage) for tax year 2017 in the amount of approximately NIS 72.9 million. On April 14, 2024, Playtika Ltd. filed a notice of appeal in the Tel Aviv District Court challenging the 2017 Assessment Order. On May 15, 2024, the ITA filed its statement of assessment grounds, and on December 1, 2024, Playtika Ltd. filed its statement of appeal grounds. On June 12, 2025, the ITA issued an assessment order (the “2018 Assessment Order”) for tax year 2018 in which it repeated similar arguments to those raised in the 2017 Assessment Order and also disallowed certain aircraft-related business expenses. The 2018 Assessment Order claimed that, as of June 12, 2025, Playtika Ltd. was obliged to pay additional taxes (including interest and CPI linkage) for tax year 2018 in the amount of approximately NIS 85.8 million. On June 26, 2025, Playtika Ltd. filed a notice of appeal and a case was opened in the Tel Aviv District Court. On July 14, 2025, the ITA filed its statement of assessment grounds, and on September 29, 2025, Playtika Ltd. filed its statement of appeal grounds. On December 14, 2025, the cases relating to the 2017 Assessment Order and 2018 Assessment Order were consolidated and a preliminary hearing occurred. At the preliminary hearing, the Court determined that, in light of the expected imminent issuance of assessment orders for additional years, the deadlines for filing affidavits and the evidentiary hearing date for witness examinations would be set after the arguments are filed in connection with the additional assessment orders for tax years 2019-2021. In this hearing, the ITA informed the Court that it was rescinding its claims disallowing the aircraft-related business expenses. On December 11, 2025, the ITA issued an assessment order (the “2019-2021 Assessment Order”) to Playtika Ltd. for tax years 2019-2021. In that order, the ITA repeated similar arguments to those raised in the 2017 Assessment Order and the 2018 Assessment Order and also denied foreign tax credits in the amount of approximately NIS 19 million for tax years 2019-2021. In addition, in the 2019-2021 Assessment Order, the ITA alleged that the interest rate set for intercompany loans Playtika Ltd. provided should have been higher under transfer pricing principles. The ITA also claimed a “secondary adjustment” in the form of interest on a deemed debt balance in favor of Playtika Ltd., due to the additional deemed income owed to Playtika Ltd. per the ITA’s claims. The 2019-2021 Assessment Order claimed that, as of December 11, 2025, Playtika Ltd. was obliged to pay additional taxes (including interest and CPI linkage) for tax years 2019-2021 in the amount of approximately NIS 312.9 million. On December 31, 2025, Playtika Ltd.filed a notice of appeal regarding the 2019-2021 Assessment Order and a case was opened in the Tel Aviv District Court. On January 28, 2026, the ITA filed its statement of assessment grounds. Playtika Ltd.’s current deadline for filing its appeal arguments is March 1, 2026 (subject to extensions). The total amount of the assessments under the 2017 Assessment Order, the 2018 Assessment Order and the 2019-2021 Assessment Order was approximately USD $148 million as of the respective dates of the assessment orders, using the exchange rate of NIS 3.19: USD $1.00, which was the exchange rate in effect on December 31, 2025. This amount remains subject to continued accrual interest and linkage of the Israeli CPI until paid. The Company intends to pursue this case vigorously. See </w:t>
      </w:r>
      <w:r>
        <w:rPr>
          <w:rFonts w:ascii="Times New Roman" w:cs="Times New Roman" w:eastAsia="Times New Roman" w:hAnsi="Times New Roman"/>
          <w:sz w:val="18"/>
          <w:szCs w:val="18"/>
          <w:i w:val="1"/>
          <w:iCs w:val="1"/>
          <w:color w:val="auto"/>
        </w:rPr>
        <w:t>Note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information.</w:t>
      </w:r>
    </w:p>
    <w:p>
      <w:pPr>
        <w:spacing w:after="0" w:line="2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18.</w:t>
        <w:tab/>
        <w:t>REVENUE FROM CONTRACTS WITH CUSTOMERS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by geographic location of the Company's players and type of platform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Revenues through third-party platforms and through the Company’s own Direct-to-Consumer platforms were as follows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Third-party platforms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Direct-to-Consumer platforms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from players for virtual items are collected by platform providers or payment processors and remitted to the Company (net of the platform or clearing fees) generally within 30 days after the player transaction. The Company’s right to receive the payments collected by the platform providers or payment processors is recorded as an accounts receivable as the right to receive payment is unconditional. Deferred revenues, which represent a contract liability, represent mostly unrecognized fees billed for virtual items which have not yet been consumed at the balance sheet date. Platform fees paid to platform providers or payment processors and associated with deferred revenues represent a contract asset.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Balances of the Company’s contract assets and liabilities are as follows (in millions):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8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8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Contract assets </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Contract liabilities </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22"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 assets are included within prepaid expenses and other current assets in the Company’s consolidated balance sheets.</w:t>
      </w:r>
    </w:p>
    <w:p>
      <w:pPr>
        <w:spacing w:after="0" w:line="1" w:lineRule="exact"/>
        <w:rPr>
          <w:rFonts w:ascii="Times New Roman" w:cs="Times New Roman" w:eastAsia="Times New Roman" w:hAnsi="Times New Roman"/>
          <w:sz w:val="23"/>
          <w:szCs w:val="23"/>
          <w:color w:val="auto"/>
          <w:vertAlign w:val="superscript"/>
        </w:rPr>
      </w:pPr>
    </w:p>
    <w:p>
      <w:pPr>
        <w:ind w:left="660" w:right="20" w:hanging="652"/>
        <w:spacing w:after="0" w:line="219" w:lineRule="auto"/>
        <w:tabs>
          <w:tab w:leader="none" w:pos="33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Contract liabilities are included within accrued expenses and other current liabilities as “deferred revenues” in the Company’s consolidated balance sheets.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$34.7 million of its contract liabilities balance that were outstanding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Unsatisfied performance obligations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unsatisfied performance obligations relate to contracts with an original expected length of one year or less.</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operates its business as one operating segment and one reportable segment. The Company has identified its Chief Executive Officer as its Chief Operating Decision Maker (“CODM”.) The CODM uses revenues and net income for purposes of assessing performance and deciding how to allocate resources. In addition to revenues and net income, the following significant expense categories and amounts are regularly provided to the CODM for use when allocating resources: advertising expense (as disclosed in </w:t>
      </w:r>
      <w:r>
        <w:rPr>
          <w:rFonts w:ascii="Times New Roman" w:cs="Times New Roman" w:eastAsia="Times New Roman" w:hAnsi="Times New Roman"/>
          <w:sz w:val="18"/>
          <w:szCs w:val="18"/>
          <w:i w:val="1"/>
          <w:iCs w:val="1"/>
          <w:color w:val="auto"/>
        </w:rPr>
        <w:t>Note 1, Organization and Summary of Significant Accounting Policies</w:t>
      </w:r>
      <w:r>
        <w:rPr>
          <w:rFonts w:ascii="Times New Roman" w:cs="Times New Roman" w:eastAsia="Times New Roman" w:hAnsi="Times New Roman"/>
          <w:sz w:val="18"/>
          <w:szCs w:val="18"/>
          <w:color w:val="auto"/>
        </w:rPr>
        <w:t>,)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 xml:space="preserve">expense (as disclosed in </w:t>
      </w:r>
      <w:r>
        <w:rPr>
          <w:rFonts w:ascii="Times New Roman" w:cs="Times New Roman" w:eastAsia="Times New Roman" w:hAnsi="Times New Roman"/>
          <w:sz w:val="18"/>
          <w:szCs w:val="18"/>
          <w:i w:val="1"/>
          <w:iCs w:val="1"/>
          <w:color w:val="auto"/>
        </w:rPr>
        <w:t>Note 21, Interest and Other, Net</w:t>
      </w:r>
      <w:r>
        <w:rPr>
          <w:rFonts w:ascii="Times New Roman" w:cs="Times New Roman" w:eastAsia="Times New Roman" w:hAnsi="Times New Roman"/>
          <w:sz w:val="18"/>
          <w:szCs w:val="18"/>
          <w:color w:val="auto"/>
        </w:rPr>
        <w:t>). Asset information as presented on the consolidated balance sheets is provided to the CODM.</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long-lived assets, net, by country of domicile are as follows (in millions):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Ukraine</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long-lived assets, net</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1"/>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7"/>
          <w:szCs w:val="17"/>
          <w:b w:val="1"/>
          <w:bCs w:val="1"/>
          <w:color w:val="auto"/>
        </w:rPr>
        <w:t>APPRECIATION AND RETENTION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2019, the Board approved the 2021-2024 Retention Plan. Under the 2021-2024 Retention Plan, eligible employees may be granted retention awards that let them receive their pro rata portion of a retention pool of $25 million per year for each of the plan years, and may also be granted appreciation units which allow the employee to receive their pro-rata portion of an appreciation pool calculated as a specified percentage of Retention Plan Adjusted EBITDA in each of the plan years, determined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2021, (A) 14% of the 2021-2024 Retention Plan Adjusted EBITDA for such calendar year, less (B) $25,000,000.</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2022, (A) 14.5% of the 2021-2024 Retention Plan Adjusted EBITDA for such calendar year, less (B) $25,000,000.</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each of 2023 and 2024, (A) 15.0% of the 2021-2024 Retention Plan Adjusted EBITDA for such calendar year, less (B) $25,000,000.</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Initial awards were granted under the 2021-2024 Retention Plan in August 2019, with subsequent awards to employees or consultants hired or retained after such date granted at the discretion of the administrator.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2020, 43,000 appreciation units held under the 2021-2024 Retention Plan were cancelled. Pursuant to an amendment to the 2021-2024 Retention Plan adopted in October 2020, these cancelled appreciation units are considered “retired units” for purposes of the plan, and will be deemed to be outstanding and eligible for payment solely for purposes of determining the per unit value to be paid to participants, but no amounts will be paid with respect to such retired units.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Retention Plan Adjusted EBITDA represents Adjusted EBITDA further adjusted to reflect certain elements of cash-based compensation including retention unit awards and appreciation unit awards under the 2021-2024 Plan and retention awards to key individuals with acquired companies.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recognized compensation expenses in respect of retention bonus and appreciation unit awards under the 2021-2024 Plan of $92.5 million and $111.9 million during the years ended December 31, 2024 and 2023 respectively. No awards were granted or expense recognized during the year ended December 31, 2025 due to conclusion of the plan in 2024.</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also granted retention awards to key individuals associated with acquired companies as an incentive to retain those individuals on a long-term basis. The Company recognized compensation expenses associated with these development-related retention payments of $0.4 million and $0.3 million for the years ended December 31, 2024 and 2023, respectively. No compensation expense associated with these development-related retention payments was recognized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  INTEREST AND OTHER, NET</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and other, net for the years ended December 31, 2025, 2024 and 2023, are as follows (in millions):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2"/>
        </w:trPr>
        <w:tc>
          <w:tcPr>
            <w:tcW w:w="6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differences, net</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6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 expense and other,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Deferred taxes reflect the net tax effect of temporary differences between the carrying amounts of assets and liabilities for financial reporting purposes and the amounts recorded for tax purposes. Significant components of the Company's deferred tax assets and liabilities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2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Valuation allowances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and equipment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instruments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23"/>
        </w:trPr>
        <w:tc>
          <w:tcPr>
            <w:tcW w:w="82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are reported in the accompanying consolidated balance sheets as follows (in millions):</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82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7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9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8"/>
        </w:trPr>
        <w:tc>
          <w:tcPr>
            <w:tcW w:w="82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available evidence, management believes it is not more-likely-than-not that $51.9 million U.S., Israel, and Finland deferred tax assets will be fully realizable. Accordingly, in those jurisdictions, the Company has recorded a valuation allowance against these assets. The Company regularly reviews the deferred tax assets for recoverability based on all of the available positive and negative evidence, with a focus on historical taxable income, projected future taxable income, the expected timing of the reversals of existing taxable temporary differences and tax planning strategies by jurisdiction.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undistributed earnings of its non-U.S. subsidiaries to be indefinitely reinvested, with the exception of certain subsidiaries that can repatriate tax-free. Determination of the amount of any deferred income or withholding tax liability on these earnings is not practicable.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operating loss carry-forwards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net operating loss carryforwards in certain jurisdictions, including Israel and Finland of $258.9 million and $43.8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operating losses in Israel are carried forward indefinitely. The net operating losses in Finland expire from 2031 through 2035.</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income tax return is subject to examination by federal, state and non-U.S. tax authorities. The 2022 through 2024 U.S. federal income tax filings are currently open tax years available for examination by the IRS. The IRS is currently examining tax year 2022. U.S. state tax jurisdictions have statutes of limitation generally ranging from three to five years, with the earliest open tax year for the Company being 2020. Years still open to examination by tax authorities in Israel, which is the main jurisdiction other than the U.S., are 2017 through 2024, which years are currently under examination.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is comprised as follows (in millions):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6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133.5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8"/>
              </w:rPr>
              <w:t>(306.4)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48"/>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(172.9)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 reconciliations are as follows: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6"/>
        </w:trPr>
        <w:tc>
          <w:tcPr>
            <w:tcW w:w="5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2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223"/>
        </w:trPr>
        <w:tc>
          <w:tcPr>
            <w:tcW w:w="5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taxes, net of federal benefit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Israel</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Jurisdictional Tax Incentives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Valuation of Contingent Consideration</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Repatriation of Undistributed Dividends</w:t>
            </w:r>
          </w:p>
        </w:tc>
        <w:tc>
          <w:tcPr>
            <w:tcW w:w="260" w:type="dxa"/>
            <w:vAlign w:val="bottom"/>
          </w:tcPr>
          <w:p>
            <w:pPr>
              <w:spacing w:after="0"/>
              <w:rPr>
                <w:sz w:val="19"/>
                <w:szCs w:val="19"/>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United Kingdom</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Germany</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Finland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Other Jurisdictions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Cross-border tax laws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GILTI and other international adjustments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162(m) Limitation</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5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UTBs</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reconciling items</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5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tax expense/Effective tax rate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7" w:lineRule="exact"/>
        <w:rPr>
          <w:sz w:val="20"/>
          <w:szCs w:val="20"/>
          <w:color w:val="auto"/>
        </w:rPr>
      </w:pPr>
    </w:p>
    <w:p>
      <w:pPr>
        <w:ind w:left="660" w:hanging="652"/>
        <w:spacing w:after="0" w:line="223" w:lineRule="auto"/>
        <w:tabs>
          <w:tab w:leader="none" w:pos="24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2025, state taxes in Pennsylvania, New York, Minnesota, California, Maryland, Georgia, Illinois, and Tennessee made up the majority (greater than 50 percent) of the tax effect in this category.</w:t>
      </w:r>
    </w:p>
    <w:p>
      <w:pPr>
        <w:ind w:left="660"/>
        <w:spacing w:after="0" w:line="255"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2024, state taxes in Pennsylvania, California, New York, Minnesota, Illinois, Georgia, and Maryland made up the majority (greater than 50 percent) of the tax effect in this category.</w:t>
      </w:r>
    </w:p>
    <w:p>
      <w:pPr>
        <w:ind w:left="660"/>
        <w:spacing w:after="0" w:line="275"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2023, state taxes in Pennsylvania, California, Minnesota, Georgia, Florida, New York, Maryland, and Illinois made up the majority (greater than 50 percent) of the tax effect in this category.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certain of its Israeli subsidiaries qualify as Preferred Technology Enterprises, entitled to a special tax track, under the Israeli Investment Law, 5719-1959 (the “Investment Law”) and accordingly are eligible for a reduced corporate tax rate of 12% on their preferred technology income, as defined in the Investment Law, beginning from tax year 2017 and onwards. A Preferred Technology Enterprise becomes a Special Preferred Technology Enterprise and is entitled to a reduced corporate tax rate of 6% on their preferred technology income when the worldwide revenues reach ILS 10 billion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18"/>
          <w:szCs w:val="18"/>
          <w:color w:val="auto"/>
        </w:rPr>
        <w:t>annually. Income not eligible for Preferred Technology Enterprise benefits is taxed at the regular corporate tax rate at 23% beginning in 2018. Consistent with final assessment received for tax year 2017 in 2024, during 2025, the Company received final assessments from the Israel Tax Authority for tax years 2018 through 2021, similarly asserting that a smaller proportion of the Company’s earnings for these years qualified for reduced tax rates under the Preferred Technology Enterprise regime than what the Company had asserted on its tax return. As such, the Company has filed a tax appeal with the Israeli district court during 2025, resulting in tax years 2018 through 2021 being consolidated with ongoing court litigation for tax year 2017. Applying the Israeli Tax Authority’s assertion to all open tax years 2017 through 2025, the Company believes that its associated reserves are adequate based on available information. However, it is possible that any final amounts payable in connection with this tax assessment could exceed the Company’s current reserves.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One Big Beautiful Bill Act (“OBBBA”), was signed into law on July 4, 2025. The OBBBA did not have a material impact on the Company’s consolidated financial statements for the year ended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is comprised as follows (in millions):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66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2"/>
                <w:szCs w:val="22"/>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48"/>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(27.4)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48"/>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U.S. State</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cash paid for income taxes is comprised as follows (in millions):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00"/>
        </w:trPr>
        <w:tc>
          <w:tcPr>
            <w:tcW w:w="66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r>
      <w:tr>
        <w:trPr>
          <w:trHeight w:val="223"/>
        </w:trPr>
        <w:tc>
          <w:tcPr>
            <w:tcW w:w="66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Israel</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Austria</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 other foreign</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 paid, net of amounts refunded</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1"/>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opening and closing balances of total unrecognized tax benefits is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261.0</w:t>
            </w: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Increases in respect of tax positions related to the current year</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Increases in respect of tax positions related to prior years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Increases in respect to exchange rate fluctuations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Reductions in respect of settlements with authorities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Reductions in respect of expirations of statute of limitations</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Reductions in respect of exchange rate fluctuations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294.0</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balance of total unrecognized tax benefits at December 31, 2025 is $129.8 million of tax benefits that if recognized, would affect the Company’s effective tax rate. The balance of the accrual relating to interest and penalties as of December 31, 2025 and 2024 is $27.6 million and $26.4 million, respectively. The amount of interest and penalties included in the Company’s consolidated statements of comprehensive income for the years ended December 31, 2025, 2024 and 2023 is $1.2 million, $6.7 million and $7.2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changes in accumulated other comprehensive income (loss), net of tax, for the respective periods (in millions):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5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3" w:lineRule="exact"/>
        <w:rPr>
          <w:sz w:val="20"/>
          <w:szCs w:val="20"/>
          <w:color w:val="auto"/>
        </w:rPr>
      </w:pPr>
    </w:p>
    <w:p>
      <w:pPr>
        <w:ind w:left="5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60" w:type="dxa"/>
            <w:vAlign w:val="bottom"/>
          </w:tcPr>
          <w:p>
            <w:pPr>
              <w:spacing w:after="0"/>
              <w:rPr>
                <w:sz w:val="17"/>
                <w:szCs w:val="17"/>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320" w:type="dxa"/>
            <w:vAlign w:val="bottom"/>
          </w:tcPr>
          <w:p>
            <w:pPr>
              <w:spacing w:after="0"/>
              <w:rPr>
                <w:sz w:val="15"/>
                <w:szCs w:val="15"/>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6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220" w:type="dxa"/>
            <w:vAlign w:val="bottom"/>
          </w:tcPr>
          <w:p>
            <w:pPr>
              <w:spacing w:after="0"/>
              <w:rPr>
                <w:sz w:val="21"/>
                <w:szCs w:val="21"/>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8"/>
        </w:trPr>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418"/>
        </w:trPr>
        <w:tc>
          <w:tcPr>
            <w:tcW w:w="18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-1319530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-1019175</wp:posOffset>
            </wp:positionV>
            <wp:extent cx="7132320" cy="265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-599440</wp:posOffset>
            </wp:positionV>
            <wp:extent cx="71323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-187960</wp:posOffset>
            </wp:positionV>
            <wp:extent cx="713232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460"/>
            <w:col w:w="6080"/>
          </w:cols>
          <w:pgMar w:left="320" w:top="1413" w:right="339" w:bottom="1440" w:gutter="0" w:footer="0" w:header="0"/>
          <w:type w:val="continuous"/>
        </w:sectPr>
      </w:pPr>
    </w:p>
    <w:p>
      <w:pPr>
        <w:spacing w:after="0" w:line="1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amounts in the summary of changes in accumulated other comprehensive income (loss) tables, above, are net of tax expense/(benefits)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for interest rate swaps and foreign currency derivative contracts were reclassified to interest expense and operating expenses, respectively, in the Company’s consolidated statements of comprehensive income during the years ended December 31, 2025 and 2024.</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24.</w:t>
      </w:r>
      <w:r>
        <w:rPr>
          <w:sz w:val="20"/>
          <w:szCs w:val="20"/>
          <w:color w:val="auto"/>
        </w:rPr>
        <w:tab/>
      </w:r>
      <w:r>
        <w:rPr>
          <w:rFonts w:ascii="Times New Roman" w:cs="Times New Roman" w:eastAsia="Times New Roman" w:hAnsi="Times New Roman"/>
          <w:sz w:val="17"/>
          <w:szCs w:val="17"/>
          <w:b w:val="1"/>
          <w:bCs w:val="1"/>
          <w:color w:val="auto"/>
        </w:rPr>
        <w:t>NET INCOME (LOSS) ATTRIBUTABLE TO ORDINARY STOCKHOLDERS</w:t>
      </w:r>
    </w:p>
    <w:p>
      <w:pPr>
        <w:spacing w:after="0" w:line="2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ordinary stockholders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6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stockholders, basic</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164"/>
        </w:trPr>
        <w:tc>
          <w:tcPr>
            <w:tcW w:w="66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 attributable to</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38" w:name="page139"/>
    <w:bookmarkEnd w:id="138"/>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outstanding employee equity awards were excluded from the calculation of diluted net income per share because their effect would have been anti-dilutive for the periods presented (in millions):</w:t>
      </w:r>
    </w:p>
    <w:p>
      <w:pPr>
        <w:spacing w:after="0" w:line="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7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10.8 million, 10.9 million and 2.2 million PSUs, respectively, were excluded from the calculation of diluted net income per share, because the minimum performance measures were not yet met.</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25.</w:t>
        <w:tab/>
        <w:t>SUBSEQUENT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14, 2026, the Company announced a reduction in workforce by approximately fifteen percent, expected to be substantially complete during the first quarter of 2026. Severance liabilities associated with this reduction in force will be recorded as the reduction of force is completed.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evaluates subsequent events through the date of issuance of the consolidated financial statements. Other than the reduction in force, the Fifth Amendment to the Credit Agreement disclosed in </w:t>
      </w:r>
      <w:r>
        <w:rPr>
          <w:rFonts w:ascii="Times New Roman" w:cs="Times New Roman" w:eastAsia="Times New Roman" w:hAnsi="Times New Roman"/>
          <w:sz w:val="18"/>
          <w:szCs w:val="18"/>
          <w:i w:val="1"/>
          <w:iCs w:val="1"/>
          <w:color w:val="auto"/>
        </w:rPr>
        <w:t>Note 13, Debt,</w:t>
      </w:r>
      <w:r>
        <w:rPr>
          <w:rFonts w:ascii="Times New Roman" w:cs="Times New Roman" w:eastAsia="Times New Roman" w:hAnsi="Times New Roman"/>
          <w:sz w:val="18"/>
          <w:szCs w:val="18"/>
          <w:color w:val="auto"/>
        </w:rPr>
        <w:t xml:space="preserve"> and equity-related items disclosed in </w:t>
      </w:r>
      <w:r>
        <w:rPr>
          <w:rFonts w:ascii="Times New Roman" w:cs="Times New Roman" w:eastAsia="Times New Roman" w:hAnsi="Times New Roman"/>
          <w:sz w:val="18"/>
          <w:szCs w:val="18"/>
          <w:i w:val="1"/>
          <w:iCs w:val="1"/>
          <w:color w:val="auto"/>
        </w:rPr>
        <w:t>Note 14, Equity Transactions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Incentive Plan, </w:t>
      </w:r>
      <w:r>
        <w:rPr>
          <w:rFonts w:ascii="Times New Roman" w:cs="Times New Roman" w:eastAsia="Times New Roman" w:hAnsi="Times New Roman"/>
          <w:sz w:val="18"/>
          <w:szCs w:val="18"/>
          <w:color w:val="auto"/>
        </w:rPr>
        <w:t>there have been no other subsequent events that occurred during such period that would require adjustment to or disclosure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as of and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FINANCIAL DISCLOSURE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2025, the end of the period covered by this Annual Report on Form 10-K. Based upon that evaluation, our Chief Executive Officer and Chief Financial Officer concluded that our disclosure controls and procedures were effective at the reasonable assurance level as of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2025, based on criteria established in Internal Control — Integrated Framework (2013) issued by the Committee of Sponsoring Organizations of the Treadway Commission. Based on this evaluation, our management concluded that our internal control over financial reporting was effective as of December 31, 2025.</w:t>
      </w:r>
    </w:p>
    <w:p>
      <w:pPr>
        <w:spacing w:after="0" w:line="20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2025 has been audited by Kost Forer Gabbay &amp; Kasierer, a member of Ernst &amp; Young Global, our independent registered public accounting firm, as stated in their report in Part II, Item 8 of this Annual Report on Form 10-K.</w:t>
      </w:r>
    </w:p>
    <w:p>
      <w:pPr>
        <w:spacing w:after="0" w:line="1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regarding the members of our Board of Directors and our audit committee, including our audit committee financial expert, will be included in our definitive Proxy Statement to be filed with the SEC in connection with our 2026 annual meeting of stockholders (the “Proxy Statement”) under the headings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 and is incorporated herein by reference.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 code of ethics applicable to all of our employees (including our principal executive officer, principal financial officer and principal accounting officer). The code of ethics is designed to deter wrongdoing and to promote honest and ethical conduct and compliance with applicable laws and regulations. The full text of our code of ethics is published in the “</w:t>
      </w:r>
      <w:r>
        <w:rPr>
          <w:rFonts w:ascii="Times New Roman" w:cs="Times New Roman" w:eastAsia="Times New Roman" w:hAnsi="Times New Roman"/>
          <w:sz w:val="18"/>
          <w:szCs w:val="18"/>
          <w:i w:val="1"/>
          <w:iCs w:val="1"/>
          <w:color w:val="auto"/>
        </w:rPr>
        <w:t>Investors-Governance</w:t>
      </w:r>
      <w:r>
        <w:rPr>
          <w:rFonts w:ascii="Times New Roman" w:cs="Times New Roman" w:eastAsia="Times New Roman" w:hAnsi="Times New Roman"/>
          <w:sz w:val="18"/>
          <w:szCs w:val="18"/>
          <w:color w:val="auto"/>
        </w:rPr>
        <w:t>” section of our website at https://investors.playtika.com/corporate-governance/documents-and-charters.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applicable to our directors, officers and employees that we believe are reasonably designed to promote compliance with insider trading laws, rules, and regulations, and the Nasdaq Stock Market LLC listing standards. Our Playtika Holding Corp. Insider Trading Compliance Policy, among other things, requires directors, officers and employees of the Company and its controlled affiliates in possession of material non-public information about the Company or companies with whom the Company does business to abstain from trading or advising others to trade in the respective company’s securities from the time that they obtain such inside information until adequate public disclosure of the information. A copy of our Insider Trading Compliance Policy is filed as Exhibit 19.1 to this Form 10-K.</w:t>
      </w:r>
    </w:p>
    <w:p>
      <w:pPr>
        <w:spacing w:after="0" w:line="2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under the headings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and is incorporated herein by reference.</w:t>
      </w:r>
    </w:p>
    <w:p>
      <w:pPr>
        <w:spacing w:after="0" w:line="183" w:lineRule="exact"/>
        <w:rPr>
          <w:sz w:val="20"/>
          <w:szCs w:val="20"/>
          <w:color w:val="auto"/>
        </w:rPr>
      </w:pPr>
    </w:p>
    <w:p>
      <w:pPr>
        <w:ind w:left="980" w:right="2720" w:hanging="129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security ownership of certain beneficial owners will be included in the Proxy Statement under the heading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 and is incorporated herein by reference.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3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under the headings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and is incorporated herein by reference.</w:t>
      </w:r>
    </w:p>
    <w:p>
      <w:pPr>
        <w:spacing w:after="0" w:line="18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under the heading “</w:t>
      </w:r>
      <w:r>
        <w:rPr>
          <w:rFonts w:ascii="Times New Roman" w:cs="Times New Roman" w:eastAsia="Times New Roman" w:hAnsi="Times New Roman"/>
          <w:sz w:val="18"/>
          <w:szCs w:val="18"/>
          <w:i w:val="1"/>
          <w:iCs w:val="1"/>
          <w:color w:val="auto"/>
        </w:rPr>
        <w:t>Independent Registered Public Accounting Firm</w:t>
      </w:r>
      <w:r>
        <w:rPr>
          <w:rFonts w:ascii="Times New Roman" w:cs="Times New Roman" w:eastAsia="Times New Roman" w:hAnsi="Times New Roman"/>
          <w:sz w:val="18"/>
          <w:szCs w:val="18"/>
          <w:color w:val="auto"/>
        </w:rPr>
        <w: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2"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b w:val="1"/>
          <w:bCs w:val="1"/>
          <w:color w:val="auto"/>
        </w:rPr>
        <w:t>(a)(1)</w:t>
        <w:tab/>
        <w:t>Playtika Holding Corp. Consolidated Financial Statements (including related notes to Consolidated Financial Statements) filed in Part II, Item 8 of this report are listed below: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Reports of Independent Registered Public Accounting Firm</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Balance Sheets as of December 31, 2025 and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Statements of Comprehensive Income for the years ended December 31, 2025, 2024 and 2023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Statements of Stockholders’ Equity (Deficit) for the years ended December 31, 2025, 2024 and 2023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Statements of Cash Flows for the years ended December 31, 2025, 2024 and 2023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Notes to Consolidated Financial Statements</w:t>
      </w:r>
    </w:p>
    <w:p>
      <w:pPr>
        <w:spacing w:after="0" w:line="23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(a)(2)</w:t>
      </w:r>
      <w:r>
        <w:rPr>
          <w:sz w:val="20"/>
          <w:szCs w:val="20"/>
          <w:color w:val="auto"/>
        </w:rPr>
        <w:tab/>
      </w:r>
      <w:r>
        <w:rPr>
          <w:rFonts w:ascii="Times New Roman" w:cs="Times New Roman" w:eastAsia="Times New Roman" w:hAnsi="Times New Roman"/>
          <w:sz w:val="17"/>
          <w:szCs w:val="17"/>
          <w:b w:val="1"/>
          <w:bCs w:val="1"/>
          <w:color w:val="auto"/>
        </w:rPr>
        <w:t>Schedule II - Valuation and Qualifying Accounts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otherwise included.</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PLAYTIKA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60" w:type="dxa"/>
            <w:vAlign w:val="bottom"/>
          </w:tcPr>
          <w:p>
            <w:pPr>
              <w:spacing w:after="0"/>
              <w:rPr>
                <w:sz w:val="16"/>
                <w:szCs w:val="16"/>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8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0" w:type="dxa"/>
            <w:vAlign w:val="bottom"/>
          </w:tcPr>
          <w:p>
            <w:pPr>
              <w:spacing w:after="0"/>
              <w:rPr>
                <w:sz w:val="16"/>
                <w:szCs w:val="16"/>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Balance at End of</w:t>
            </w:r>
          </w:p>
        </w:tc>
        <w:tc>
          <w:tcPr>
            <w:tcW w:w="0" w:type="dxa"/>
            <w:vAlign w:val="bottom"/>
          </w:tcPr>
          <w:p>
            <w:pPr>
              <w:spacing w:after="0"/>
              <w:rPr>
                <w:sz w:val="1"/>
                <w:szCs w:val="1"/>
                <w:color w:val="auto"/>
              </w:rPr>
            </w:pPr>
          </w:p>
        </w:tc>
      </w:tr>
      <w:tr>
        <w:trPr>
          <w:trHeight w:val="21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valuation allowance:</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(a)(3)</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47"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4"/>
          <w:szCs w:val="14"/>
          <w:b w:val="1"/>
          <w:bCs w:val="1"/>
          <w:color w:val="auto"/>
        </w:rPr>
        <w:t>Filed or</w:t>
      </w:r>
    </w:p>
    <w:p>
      <w:pPr>
        <w:sectPr>
          <w:pgSz w:w="11900" w:h="16838" w:orient="portrait"/>
          <w:cols w:equalWidth="0" w:num="1">
            <w:col w:w="11240"/>
          </w:cols>
          <w:pgMar w:left="320" w:top="1413" w:right="339" w:bottom="1440" w:gutter="0" w:footer="0" w:header="0"/>
        </w:sectPr>
      </w:pP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3.1</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3.2</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4.1</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4.2</w:t>
      </w:r>
    </w:p>
    <w:p>
      <w:pPr>
        <w:spacing w:after="0" w:line="3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4.3</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4.4</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4.5</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4.6</w:t>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4.7</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4.8</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4.9</w:t>
      </w:r>
    </w:p>
    <w:p>
      <w:pPr>
        <w:spacing w:after="0" w:line="3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33655</wp:posOffset>
            </wp:positionV>
            <wp:extent cx="7132320" cy="2489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37" w:lineRule="exact"/>
        <w:rPr>
          <w:sz w:val="20"/>
          <w:szCs w:val="20"/>
          <w:color w:val="auto"/>
        </w:rPr>
      </w:pPr>
    </w:p>
    <w:p>
      <w:pPr>
        <w:ind w:right="20"/>
        <w:spacing w:after="0" w:line="282" w:lineRule="auto"/>
        <w:rPr>
          <w:rFonts w:ascii="Times New Roman" w:cs="Times New Roman" w:eastAsia="Times New Roman" w:hAnsi="Times New Roman"/>
          <w:sz w:val="14"/>
          <w:szCs w:val="14"/>
          <w:u w:val="single" w:color="auto"/>
          <w:color w:val="0000FF"/>
        </w:rPr>
      </w:pPr>
      <w:hyperlink r:id="rId194">
        <w:r>
          <w:rPr>
            <w:rFonts w:ascii="Times New Roman" w:cs="Times New Roman" w:eastAsia="Times New Roman" w:hAnsi="Times New Roman"/>
            <w:sz w:val="14"/>
            <w:szCs w:val="14"/>
            <w:u w:val="single" w:color="auto"/>
            <w:color w:val="0000FF"/>
          </w:rPr>
          <w:t>Amended and Restated Certificate of Incorporation (incorporated herein by reference to Exhibit 3.1 to the Company’s Current Report on Form 8-K, as</w:t>
        </w:r>
      </w:hyperlink>
      <w:r>
        <w:rPr>
          <w:rFonts w:ascii="Times New Roman" w:cs="Times New Roman" w:eastAsia="Times New Roman" w:hAnsi="Times New Roman"/>
          <w:sz w:val="14"/>
          <w:szCs w:val="14"/>
          <w:u w:val="single" w:color="auto"/>
          <w:color w:val="0000FF"/>
        </w:rPr>
        <w:t xml:space="preserve"> </w:t>
      </w:r>
      <w:hyperlink r:id="rId194">
        <w:r>
          <w:rPr>
            <w:rFonts w:ascii="Times New Roman" w:cs="Times New Roman" w:eastAsia="Times New Roman" w:hAnsi="Times New Roman"/>
            <w:sz w:val="14"/>
            <w:szCs w:val="14"/>
            <w:u w:val="single" w:color="auto"/>
            <w:color w:val="0000FF"/>
          </w:rPr>
          <w:t>filed with the SEC on January 20, 2021)</w:t>
        </w:r>
      </w:hyperlink>
    </w:p>
    <w:p>
      <w:pPr>
        <w:spacing w:after="0" w:line="13" w:lineRule="exact"/>
        <w:rPr>
          <w:sz w:val="20"/>
          <w:szCs w:val="20"/>
          <w:color w:val="auto"/>
        </w:rPr>
      </w:pPr>
    </w:p>
    <w:p>
      <w:pPr>
        <w:ind w:right="60"/>
        <w:spacing w:after="0" w:line="281" w:lineRule="auto"/>
        <w:rPr>
          <w:rFonts w:ascii="Times New Roman" w:cs="Times New Roman" w:eastAsia="Times New Roman" w:hAnsi="Times New Roman"/>
          <w:sz w:val="14"/>
          <w:szCs w:val="14"/>
          <w:u w:val="single" w:color="auto"/>
          <w:color w:val="0000FF"/>
        </w:rPr>
      </w:pPr>
      <w:hyperlink r:id="rId195">
        <w:r>
          <w:rPr>
            <w:rFonts w:ascii="Times New Roman" w:cs="Times New Roman" w:eastAsia="Times New Roman" w:hAnsi="Times New Roman"/>
            <w:sz w:val="14"/>
            <w:szCs w:val="14"/>
            <w:u w:val="single" w:color="auto"/>
            <w:color w:val="0000FF"/>
          </w:rPr>
          <w:t>Second Amended and Restated Bylaws of Playtika Holding Corp, adopted on February 7, 2024 (incorporated herein by reference to Exhibit 3.1 to the</w:t>
        </w:r>
      </w:hyperlink>
      <w:r>
        <w:rPr>
          <w:rFonts w:ascii="Times New Roman" w:cs="Times New Roman" w:eastAsia="Times New Roman" w:hAnsi="Times New Roman"/>
          <w:sz w:val="14"/>
          <w:szCs w:val="14"/>
          <w:u w:val="single" w:color="auto"/>
          <w:color w:val="0000FF"/>
        </w:rPr>
        <w:t xml:space="preserve"> </w:t>
      </w:r>
      <w:hyperlink r:id="rId195">
        <w:r>
          <w:rPr>
            <w:rFonts w:ascii="Times New Roman" w:cs="Times New Roman" w:eastAsia="Times New Roman" w:hAnsi="Times New Roman"/>
            <w:sz w:val="14"/>
            <w:szCs w:val="14"/>
            <w:u w:val="single" w:color="auto"/>
            <w:color w:val="0000FF"/>
          </w:rPr>
          <w:t>Company’s Current Report on Form 8-K, as filed with the SEC on February 9, 2024)</w:t>
        </w:r>
      </w:hyperlink>
    </w:p>
    <w:p>
      <w:pPr>
        <w:spacing w:after="0" w:line="1" w:lineRule="exact"/>
        <w:rPr>
          <w:sz w:val="20"/>
          <w:szCs w:val="20"/>
          <w:color w:val="auto"/>
        </w:rPr>
      </w:pPr>
    </w:p>
    <w:p>
      <w:pPr>
        <w:ind w:right="60"/>
        <w:spacing w:after="0" w:line="251" w:lineRule="auto"/>
        <w:rPr>
          <w:rFonts w:ascii="Times New Roman" w:cs="Times New Roman" w:eastAsia="Times New Roman" w:hAnsi="Times New Roman"/>
          <w:sz w:val="14"/>
          <w:szCs w:val="14"/>
          <w:u w:val="single" w:color="auto"/>
          <w:color w:val="0000FF"/>
        </w:rPr>
      </w:pPr>
      <w:hyperlink r:id="rId196">
        <w:r>
          <w:rPr>
            <w:rFonts w:ascii="Times New Roman" w:cs="Times New Roman" w:eastAsia="Times New Roman" w:hAnsi="Times New Roman"/>
            <w:sz w:val="14"/>
            <w:szCs w:val="14"/>
            <w:u w:val="single" w:color="auto"/>
            <w:color w:val="0000FF"/>
          </w:rPr>
          <w:t>Form of Certificate of Common Stock (incorporated herein by reference to Exhibit 4.1 to the Company’s Registration Statement on Form S-1, as filed</w:t>
        </w:r>
      </w:hyperlink>
      <w:r>
        <w:rPr>
          <w:rFonts w:ascii="Times New Roman" w:cs="Times New Roman" w:eastAsia="Times New Roman" w:hAnsi="Times New Roman"/>
          <w:sz w:val="14"/>
          <w:szCs w:val="14"/>
          <w:u w:val="single" w:color="auto"/>
          <w:color w:val="0000FF"/>
        </w:rPr>
        <w:t xml:space="preserve"> </w:t>
      </w:r>
      <w:hyperlink r:id="rId196">
        <w:r>
          <w:rPr>
            <w:rFonts w:ascii="Times New Roman" w:cs="Times New Roman" w:eastAsia="Times New Roman" w:hAnsi="Times New Roman"/>
            <w:sz w:val="14"/>
            <w:szCs w:val="14"/>
            <w:u w:val="single" w:color="auto"/>
            <w:color w:val="0000FF"/>
          </w:rPr>
          <w:t>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20"/>
        <w:spacing w:after="0" w:line="261" w:lineRule="auto"/>
        <w:rPr>
          <w:rFonts w:ascii="Times New Roman" w:cs="Times New Roman" w:eastAsia="Times New Roman" w:hAnsi="Times New Roman"/>
          <w:sz w:val="14"/>
          <w:szCs w:val="14"/>
          <w:u w:val="single" w:color="auto"/>
          <w:color w:val="0000FF"/>
        </w:rPr>
      </w:pPr>
      <w:hyperlink r:id="rId198">
        <w:r>
          <w:rPr>
            <w:rFonts w:ascii="Times New Roman" w:cs="Times New Roman" w:eastAsia="Times New Roman" w:hAnsi="Times New Roman"/>
            <w:sz w:val="14"/>
            <w:szCs w:val="14"/>
            <w:u w:val="single" w:color="auto"/>
            <w:color w:val="0000FF"/>
          </w:rPr>
          <w:t>Equity Plan Stockholders Agreement, dated June 26, 2020, by and between Playtika Holding Corp. and certain of its stockholders (incorporated herein</w:t>
        </w:r>
      </w:hyperlink>
      <w:r>
        <w:rPr>
          <w:rFonts w:ascii="Times New Roman" w:cs="Times New Roman" w:eastAsia="Times New Roman" w:hAnsi="Times New Roman"/>
          <w:sz w:val="14"/>
          <w:szCs w:val="14"/>
          <w:u w:val="single" w:color="auto"/>
          <w:color w:val="0000FF"/>
        </w:rPr>
        <w:t xml:space="preserve"> </w:t>
      </w:r>
      <w:hyperlink r:id="rId198">
        <w:r>
          <w:rPr>
            <w:rFonts w:ascii="Times New Roman" w:cs="Times New Roman" w:eastAsia="Times New Roman" w:hAnsi="Times New Roman"/>
            <w:sz w:val="14"/>
            <w:szCs w:val="14"/>
            <w:u w:val="single" w:color="auto"/>
            <w:color w:val="0000FF"/>
          </w:rPr>
          <w:t>by reference to Exhibit 4.2 to the Company’s Registration Statement on Form S-1, as filed with the SEC on December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-1270</wp:posOffset>
            </wp:positionV>
            <wp:extent cx="7132320" cy="351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68" w:lineRule="auto"/>
        <w:rPr>
          <w:rFonts w:ascii="Times New Roman" w:cs="Times New Roman" w:eastAsia="Times New Roman" w:hAnsi="Times New Roman"/>
          <w:sz w:val="14"/>
          <w:szCs w:val="14"/>
          <w:u w:val="single" w:color="auto"/>
          <w:color w:val="0000FF"/>
        </w:rPr>
      </w:pPr>
      <w:hyperlink r:id="rId200">
        <w:r>
          <w:rPr>
            <w:rFonts w:ascii="Times New Roman" w:cs="Times New Roman" w:eastAsia="Times New Roman" w:hAnsi="Times New Roman"/>
            <w:sz w:val="14"/>
            <w:szCs w:val="14"/>
            <w:u w:val="single" w:color="auto"/>
            <w:color w:val="0000FF"/>
          </w:rPr>
          <w:t>Amendment No. 1 to Equity Plan Stockholders Agreement, dated January 20, 2021, by and between Playtika Holding Corp., certain of its stockholders</w:t>
        </w:r>
      </w:hyperlink>
      <w:r>
        <w:rPr>
          <w:rFonts w:ascii="Times New Roman" w:cs="Times New Roman" w:eastAsia="Times New Roman" w:hAnsi="Times New Roman"/>
          <w:sz w:val="14"/>
          <w:szCs w:val="14"/>
          <w:u w:val="single" w:color="auto"/>
          <w:color w:val="0000FF"/>
        </w:rPr>
        <w:t xml:space="preserve"> </w:t>
      </w:r>
      <w:hyperlink r:id="rId200">
        <w:r>
          <w:rPr>
            <w:rFonts w:ascii="Times New Roman" w:cs="Times New Roman" w:eastAsia="Times New Roman" w:hAnsi="Times New Roman"/>
            <w:sz w:val="14"/>
            <w:szCs w:val="14"/>
            <w:u w:val="single" w:color="auto"/>
            <w:color w:val="0000FF"/>
          </w:rPr>
          <w:t>and affiliated parties thereto (incorporated herein by reference to Exhibit 4.1 to the Company’s Current Report on Form 8-K, as filed with the SEC on</w:t>
        </w:r>
      </w:hyperlink>
      <w:r>
        <w:rPr>
          <w:rFonts w:ascii="Times New Roman" w:cs="Times New Roman" w:eastAsia="Times New Roman" w:hAnsi="Times New Roman"/>
          <w:sz w:val="14"/>
          <w:szCs w:val="14"/>
          <w:u w:val="single" w:color="auto"/>
          <w:color w:val="0000FF"/>
        </w:rPr>
        <w:t xml:space="preserve"> </w:t>
      </w:r>
      <w:hyperlink r:id="rId200">
        <w:r>
          <w:rPr>
            <w:rFonts w:ascii="Times New Roman" w:cs="Times New Roman" w:eastAsia="Times New Roman" w:hAnsi="Times New Roman"/>
            <w:sz w:val="14"/>
            <w:szCs w:val="14"/>
            <w:u w:val="single" w:color="auto"/>
            <w:color w:val="0000FF"/>
          </w:rPr>
          <w:t>January 20, 2021)</w:t>
        </w:r>
      </w:hyperlink>
    </w:p>
    <w:p>
      <w:pPr>
        <w:spacing w:after="0" w:line="1" w:lineRule="exact"/>
        <w:rPr>
          <w:rFonts w:ascii="Times New Roman" w:cs="Times New Roman" w:eastAsia="Times New Roman" w:hAnsi="Times New Roman"/>
          <w:sz w:val="14"/>
          <w:szCs w:val="14"/>
          <w:u w:val="single" w:color="auto"/>
          <w:color w:val="0000FF"/>
        </w:rPr>
      </w:pPr>
    </w:p>
    <w:p>
      <w:pPr>
        <w:ind w:right="220"/>
        <w:spacing w:after="0" w:line="251" w:lineRule="auto"/>
        <w:rPr>
          <w:rFonts w:ascii="Times New Roman" w:cs="Times New Roman" w:eastAsia="Times New Roman" w:hAnsi="Times New Roman"/>
          <w:sz w:val="14"/>
          <w:szCs w:val="14"/>
          <w:u w:val="single" w:color="auto"/>
          <w:color w:val="0000FF"/>
        </w:rPr>
      </w:pPr>
      <w:hyperlink r:id="rId201">
        <w:r>
          <w:rPr>
            <w:rFonts w:ascii="Times New Roman" w:cs="Times New Roman" w:eastAsia="Times New Roman" w:hAnsi="Times New Roman"/>
            <w:sz w:val="14"/>
            <w:szCs w:val="14"/>
            <w:u w:val="single" w:color="auto"/>
            <w:color w:val="0000FF"/>
          </w:rPr>
          <w:t>Description of Securities (incorporated herein by reference to Exhibit 4.4 to the Company's Annual Report on Form 10-K, as filed with the SEC on</w:t>
        </w:r>
      </w:hyperlink>
      <w:r>
        <w:rPr>
          <w:rFonts w:ascii="Times New Roman" w:cs="Times New Roman" w:eastAsia="Times New Roman" w:hAnsi="Times New Roman"/>
          <w:sz w:val="14"/>
          <w:szCs w:val="14"/>
          <w:u w:val="single" w:color="auto"/>
          <w:color w:val="0000FF"/>
        </w:rPr>
        <w:t xml:space="preserve"> </w:t>
      </w:r>
      <w:hyperlink r:id="rId201">
        <w:r>
          <w:rPr>
            <w:rFonts w:ascii="Times New Roman" w:cs="Times New Roman" w:eastAsia="Times New Roman" w:hAnsi="Times New Roman"/>
            <w:sz w:val="14"/>
            <w:szCs w:val="14"/>
            <w:u w:val="single" w:color="auto"/>
            <w:color w:val="0000FF"/>
          </w:rPr>
          <w:t>February 26, 2021)</w:t>
        </w:r>
      </w:hyperlink>
    </w:p>
    <w:p>
      <w:pPr>
        <w:spacing w:after="0" w:line="1" w:lineRule="exact"/>
        <w:rPr>
          <w:sz w:val="20"/>
          <w:szCs w:val="20"/>
          <w:color w:val="auto"/>
        </w:rPr>
      </w:pPr>
    </w:p>
    <w:p>
      <w:pPr>
        <w:ind w:right="60"/>
        <w:spacing w:after="0" w:line="251" w:lineRule="auto"/>
        <w:rPr>
          <w:rFonts w:ascii="Times New Roman" w:cs="Times New Roman" w:eastAsia="Times New Roman" w:hAnsi="Times New Roman"/>
          <w:sz w:val="14"/>
          <w:szCs w:val="14"/>
          <w:u w:val="single" w:color="auto"/>
          <w:color w:val="0000FF"/>
        </w:rPr>
      </w:pPr>
      <w:hyperlink r:id="rId202">
        <w:r>
          <w:rPr>
            <w:rFonts w:ascii="Times New Roman" w:cs="Times New Roman" w:eastAsia="Times New Roman" w:hAnsi="Times New Roman"/>
            <w:sz w:val="14"/>
            <w:szCs w:val="14"/>
            <w:u w:val="single" w:color="auto"/>
            <w:color w:val="0000FF"/>
          </w:rPr>
          <w:t>Indenture, dated March 11, 2021, among Playtika Holding Corp., the subsidiary guarantors party thereto and Wilmington Trust, National Association,</w:t>
        </w:r>
      </w:hyperlink>
      <w:r>
        <w:rPr>
          <w:rFonts w:ascii="Times New Roman" w:cs="Times New Roman" w:eastAsia="Times New Roman" w:hAnsi="Times New Roman"/>
          <w:sz w:val="14"/>
          <w:szCs w:val="14"/>
          <w:u w:val="single" w:color="auto"/>
          <w:color w:val="0000FF"/>
        </w:rPr>
        <w:t xml:space="preserve"> </w:t>
      </w:r>
      <w:hyperlink r:id="rId202">
        <w:r>
          <w:rPr>
            <w:rFonts w:ascii="Times New Roman" w:cs="Times New Roman" w:eastAsia="Times New Roman" w:hAnsi="Times New Roman"/>
            <w:sz w:val="14"/>
            <w:szCs w:val="14"/>
            <w:u w:val="single" w:color="auto"/>
            <w:color w:val="0000FF"/>
          </w:rPr>
          <w:t>as trustee (incorporated herein by reference to Exhibit 4.1 to the Company's Current Report on Form 8-K, as filed with the SEC on March 11,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00"/>
        <w:spacing w:after="0" w:line="251" w:lineRule="auto"/>
        <w:rPr>
          <w:rFonts w:ascii="Times New Roman" w:cs="Times New Roman" w:eastAsia="Times New Roman" w:hAnsi="Times New Roman"/>
          <w:sz w:val="14"/>
          <w:szCs w:val="14"/>
          <w:u w:val="single" w:color="auto"/>
          <w:color w:val="0000FF"/>
        </w:rPr>
      </w:pPr>
      <w:hyperlink r:id="rId202">
        <w:r>
          <w:rPr>
            <w:rFonts w:ascii="Times New Roman" w:cs="Times New Roman" w:eastAsia="Times New Roman" w:hAnsi="Times New Roman"/>
            <w:sz w:val="14"/>
            <w:szCs w:val="14"/>
            <w:u w:val="single" w:color="auto"/>
            <w:color w:val="0000FF"/>
          </w:rPr>
          <w:t>Form of 4.250% Senior Notes due 2029 (incorporated herein by reference to Exhibit 4.2 to the Company's Current Report on Form 8-K, as filed with</w:t>
        </w:r>
      </w:hyperlink>
      <w:r>
        <w:rPr>
          <w:rFonts w:ascii="Times New Roman" w:cs="Times New Roman" w:eastAsia="Times New Roman" w:hAnsi="Times New Roman"/>
          <w:sz w:val="14"/>
          <w:szCs w:val="14"/>
          <w:u w:val="single" w:color="auto"/>
          <w:color w:val="0000FF"/>
        </w:rPr>
        <w:t xml:space="preserve"> </w:t>
      </w:r>
      <w:hyperlink r:id="rId202">
        <w:r>
          <w:rPr>
            <w:rFonts w:ascii="Times New Roman" w:cs="Times New Roman" w:eastAsia="Times New Roman" w:hAnsi="Times New Roman"/>
            <w:sz w:val="14"/>
            <w:szCs w:val="14"/>
            <w:u w:val="single" w:color="auto"/>
            <w:color w:val="0000FF"/>
          </w:rPr>
          <w:t>the SEC on March 11, 2021)</w:t>
        </w:r>
      </w:hyperlink>
    </w:p>
    <w:p>
      <w:pPr>
        <w:spacing w:after="0" w:line="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04">
        <w:r>
          <w:rPr>
            <w:rFonts w:ascii="Times New Roman" w:cs="Times New Roman" w:eastAsia="Times New Roman" w:hAnsi="Times New Roman"/>
            <w:sz w:val="14"/>
            <w:szCs w:val="14"/>
            <w:u w:val="single" w:color="auto"/>
            <w:color w:val="0000FF"/>
          </w:rPr>
          <w:t>First Supplemental Indenture and Subsidiary Guarantee, dated August 26, 2021, among Playtika Holding Corp., Playtika ST Holding GmbH,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-95885</wp:posOffset>
            </wp:positionV>
            <wp:extent cx="7132320" cy="402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ind w:right="180"/>
        <w:spacing w:after="0" w:line="211" w:lineRule="auto"/>
        <w:rPr>
          <w:rFonts w:ascii="Times New Roman" w:cs="Times New Roman" w:eastAsia="Times New Roman" w:hAnsi="Times New Roman"/>
          <w:sz w:val="14"/>
          <w:szCs w:val="14"/>
          <w:u w:val="single" w:color="auto"/>
          <w:color w:val="0000FF"/>
        </w:rPr>
      </w:pPr>
      <w:hyperlink r:id="rId204">
        <w:r>
          <w:rPr>
            <w:rFonts w:ascii="Times New Roman" w:cs="Times New Roman" w:eastAsia="Times New Roman" w:hAnsi="Times New Roman"/>
            <w:sz w:val="14"/>
            <w:szCs w:val="14"/>
            <w:u w:val="single" w:color="auto"/>
            <w:color w:val="0000FF"/>
          </w:rPr>
          <w:t>Seriously Digital Entertainment Oy, Supertreat GmbH, Wooga GmbH, Wooga ParentCo DE GmbH and Wilmington Trust, National Association, as</w:t>
        </w:r>
      </w:hyperlink>
      <w:r>
        <w:rPr>
          <w:rFonts w:ascii="Times New Roman" w:cs="Times New Roman" w:eastAsia="Times New Roman" w:hAnsi="Times New Roman"/>
          <w:sz w:val="14"/>
          <w:szCs w:val="14"/>
          <w:u w:val="single" w:color="auto"/>
          <w:color w:val="0000FF"/>
        </w:rPr>
        <w:t xml:space="preserve"> </w:t>
      </w:r>
      <w:hyperlink r:id="rId204">
        <w:r>
          <w:rPr>
            <w:rFonts w:ascii="Times New Roman" w:cs="Times New Roman" w:eastAsia="Times New Roman" w:hAnsi="Times New Roman"/>
            <w:sz w:val="14"/>
            <w:szCs w:val="14"/>
            <w:u w:val="single" w:color="auto"/>
            <w:color w:val="0000FF"/>
          </w:rPr>
          <w:t>trustee (incorporated herein by reference to Exhibit 4.1 to the Company's Quarterly Report on Form 10-Q, as filed with the SEC on November 4,</w:t>
        </w:r>
      </w:hyperlink>
    </w:p>
    <w:p>
      <w:pPr>
        <w:spacing w:after="0"/>
        <w:rPr>
          <w:rFonts w:ascii="Times New Roman" w:cs="Times New Roman" w:eastAsia="Times New Roman" w:hAnsi="Times New Roman"/>
          <w:sz w:val="14"/>
          <w:szCs w:val="14"/>
          <w:u w:val="single" w:color="auto"/>
          <w:color w:val="0000FF"/>
        </w:rPr>
      </w:pPr>
      <w:hyperlink r:id="rId204">
        <w:r>
          <w:rPr>
            <w:rFonts w:ascii="Times New Roman" w:cs="Times New Roman" w:eastAsia="Times New Roman" w:hAnsi="Times New Roman"/>
            <w:sz w:val="14"/>
            <w:szCs w:val="14"/>
            <w:u w:val="single" w:color="auto"/>
            <w:color w:val="0000FF"/>
          </w:rPr>
          <w:t>2021)</w:t>
        </w:r>
      </w:hyperlink>
    </w:p>
    <w:p>
      <w:pPr>
        <w:spacing w:after="0" w:line="26" w:lineRule="exact"/>
        <w:rPr>
          <w:sz w:val="20"/>
          <w:szCs w:val="20"/>
          <w:color w:val="auto"/>
        </w:rPr>
      </w:pPr>
    </w:p>
    <w:p>
      <w:pPr>
        <w:ind w:right="740"/>
        <w:spacing w:after="0" w:line="251" w:lineRule="auto"/>
        <w:rPr>
          <w:sz w:val="20"/>
          <w:szCs w:val="20"/>
          <w:color w:val="auto"/>
        </w:rPr>
      </w:pPr>
      <w:r>
        <w:rPr>
          <w:rFonts w:ascii="Times New Roman" w:cs="Times New Roman" w:eastAsia="Times New Roman" w:hAnsi="Times New Roman"/>
          <w:sz w:val="14"/>
          <w:szCs w:val="14"/>
          <w:u w:val="single" w:color="auto"/>
          <w:color w:val="0000FF"/>
        </w:rPr>
        <w:t>Second Supplemental Indenture and Subsidiary Guarantee, dated January 21, 2025, among Playtika Holding Corp., G.S Innplay Labs Ltd, Screenshake Ltd, Simple Play Ltd, SuperPlay Ltd, SuperPlay Games LLC and Wilmington Trust, National Association, as trustee</w:t>
      </w:r>
    </w:p>
    <w:p>
      <w:pPr>
        <w:spacing w:after="0" w:line="1" w:lineRule="exact"/>
        <w:rPr>
          <w:sz w:val="20"/>
          <w:szCs w:val="20"/>
          <w:color w:val="auto"/>
        </w:rPr>
      </w:pPr>
    </w:p>
    <w:p>
      <w:pPr>
        <w:spacing w:after="0" w:line="251" w:lineRule="auto"/>
        <w:rPr>
          <w:rFonts w:ascii="Times New Roman" w:cs="Times New Roman" w:eastAsia="Times New Roman" w:hAnsi="Times New Roman"/>
          <w:sz w:val="14"/>
          <w:szCs w:val="14"/>
          <w:u w:val="single" w:color="auto"/>
          <w:color w:val="0000FF"/>
        </w:rPr>
      </w:pPr>
      <w:hyperlink r:id="rId206">
        <w:r>
          <w:rPr>
            <w:rFonts w:ascii="Times New Roman" w:cs="Times New Roman" w:eastAsia="Times New Roman" w:hAnsi="Times New Roman"/>
            <w:sz w:val="14"/>
            <w:szCs w:val="14"/>
            <w:u w:val="single" w:color="auto"/>
            <w:color w:val="0000FF"/>
          </w:rPr>
          <w:t>Stockholders Agreement dated July 11, 2022, between Playtika Holding Corp. and Joffre Palace Holdings Limited (incorporated herein by reference to</w:t>
        </w:r>
      </w:hyperlink>
      <w:r>
        <w:rPr>
          <w:rFonts w:ascii="Times New Roman" w:cs="Times New Roman" w:eastAsia="Times New Roman" w:hAnsi="Times New Roman"/>
          <w:sz w:val="14"/>
          <w:szCs w:val="14"/>
          <w:u w:val="single" w:color="auto"/>
          <w:color w:val="0000FF"/>
        </w:rPr>
        <w:t xml:space="preserve"> </w:t>
      </w:r>
      <w:hyperlink r:id="rId206">
        <w:r>
          <w:rPr>
            <w:rFonts w:ascii="Times New Roman" w:cs="Times New Roman" w:eastAsia="Times New Roman" w:hAnsi="Times New Roman"/>
            <w:sz w:val="14"/>
            <w:szCs w:val="14"/>
            <w:u w:val="single" w:color="auto"/>
            <w:color w:val="0000FF"/>
          </w:rPr>
          <w:t>Exhibit 4.1 to the Company’s Current Report on Form 8-K, as filed with the SEC on July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rPr>
          <w:rFonts w:ascii="Times New Roman" w:cs="Times New Roman" w:eastAsia="Times New Roman" w:hAnsi="Times New Roman"/>
          <w:sz w:val="14"/>
          <w:szCs w:val="14"/>
          <w:u w:val="single" w:color="auto"/>
          <w:color w:val="0000FF"/>
        </w:rPr>
      </w:pPr>
      <w:hyperlink r:id="rId208">
        <w:r>
          <w:rPr>
            <w:rFonts w:ascii="Times New Roman" w:cs="Times New Roman" w:eastAsia="Times New Roman" w:hAnsi="Times New Roman"/>
            <w:sz w:val="14"/>
            <w:szCs w:val="14"/>
            <w:u w:val="single" w:color="auto"/>
            <w:color w:val="0000FF"/>
          </w:rPr>
          <w:t>Credit Agreement, dated as of December 10, 2019, among Playtika Holding Corp., the lenders party thereto and Credit Suisse AG, Cayman Islands</w:t>
        </w:r>
      </w:hyperlink>
    </w:p>
    <w:p>
      <w:pPr>
        <w:spacing w:after="0" w:line="4" w:lineRule="exact"/>
        <w:rPr>
          <w:sz w:val="20"/>
          <w:szCs w:val="20"/>
          <w:color w:val="auto"/>
        </w:rPr>
      </w:pPr>
    </w:p>
    <w:p>
      <w:pPr>
        <w:ind w:right="100"/>
        <w:spacing w:after="0" w:line="229" w:lineRule="auto"/>
        <w:rPr>
          <w:rFonts w:ascii="Times New Roman" w:cs="Times New Roman" w:eastAsia="Times New Roman" w:hAnsi="Times New Roman"/>
          <w:sz w:val="14"/>
          <w:szCs w:val="14"/>
          <w:u w:val="single" w:color="auto"/>
          <w:color w:val="0000FF"/>
        </w:rPr>
      </w:pPr>
      <w:hyperlink r:id="rId208">
        <w:r>
          <w:rPr>
            <w:rFonts w:ascii="Times New Roman" w:cs="Times New Roman" w:eastAsia="Times New Roman" w:hAnsi="Times New Roman"/>
            <w:sz w:val="14"/>
            <w:szCs w:val="14"/>
            <w:u w:val="single" w:color="auto"/>
            <w:color w:val="0000FF"/>
          </w:rPr>
          <w:t>Branch, as administrative agent and collateral agent and the other parties thereto (incorporated herein by reference to Exhibit 10.24 to the Company’s</w:t>
        </w:r>
      </w:hyperlink>
      <w:r>
        <w:rPr>
          <w:rFonts w:ascii="Times New Roman" w:cs="Times New Roman" w:eastAsia="Times New Roman" w:hAnsi="Times New Roman"/>
          <w:sz w:val="14"/>
          <w:szCs w:val="14"/>
          <w:u w:val="single" w:color="auto"/>
          <w:color w:val="0000FF"/>
        </w:rPr>
        <w:t xml:space="preserve"> </w:t>
      </w:r>
      <w:hyperlink r:id="rId208">
        <w:r>
          <w:rPr>
            <w:rFonts w:ascii="Times New Roman" w:cs="Times New Roman" w:eastAsia="Times New Roman" w:hAnsi="Times New Roman"/>
            <w:sz w:val="14"/>
            <w:szCs w:val="14"/>
            <w:u w:val="single" w:color="auto"/>
            <w:color w:val="0000FF"/>
          </w:rPr>
          <w:t>Registration Statement on Form S-1, as filed with the SEC on December 18, 2020)</w:t>
        </w:r>
      </w:hyperlink>
    </w:p>
    <w:p>
      <w:pPr>
        <w:spacing w:after="0" w:line="11" w:lineRule="exact"/>
        <w:rPr>
          <w:sz w:val="20"/>
          <w:szCs w:val="20"/>
          <w:color w:val="auto"/>
        </w:rPr>
      </w:pPr>
    </w:p>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Incremental Assumption Agreement No. 1, dated as of June 15, 2020, among Playtika Holding Corp., the lenders party thereto and Credit Suisse AG,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-93345</wp:posOffset>
            </wp:positionV>
            <wp:extent cx="7132320" cy="308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auto"/>
        <w:rPr>
          <w:sz w:val="20"/>
          <w:szCs w:val="20"/>
          <w:color w:val="auto"/>
        </w:rPr>
      </w:pPr>
      <w:r>
        <w:rPr>
          <w:rFonts w:ascii="Times New Roman" w:cs="Times New Roman" w:eastAsia="Times New Roman" w:hAnsi="Times New Roman"/>
          <w:sz w:val="14"/>
          <w:szCs w:val="14"/>
          <w:b w:val="1"/>
          <w:bCs w:val="1"/>
          <w:color w:val="auto"/>
        </w:rPr>
        <w:t>Furnished</w:t>
      </w:r>
    </w:p>
    <w:p>
      <w:pPr>
        <w:ind w:left="4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X</w:t>
      </w:r>
    </w:p>
    <w:p>
      <w:pPr>
        <w:spacing w:after="0" w:line="1042" w:lineRule="exact"/>
        <w:rPr>
          <w:sz w:val="20"/>
          <w:szCs w:val="20"/>
          <w:color w:val="auto"/>
        </w:rPr>
      </w:pPr>
    </w:p>
    <w:p>
      <w:pPr>
        <w:sectPr>
          <w:pgSz w:w="11900" w:h="16838" w:orient="portrait"/>
          <w:cols w:equalWidth="0" w:num="3">
            <w:col w:w="1080" w:space="180"/>
            <w:col w:w="8700" w:space="380"/>
            <w:col w:w="90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10.1.1</w:t>
            </w:r>
          </w:p>
        </w:tc>
        <w:tc>
          <w:tcPr>
            <w:tcW w:w="9980" w:type="dxa"/>
            <w:vAlign w:val="bottom"/>
            <w:gridSpan w:val="21"/>
          </w:tcPr>
          <w:p>
            <w:pPr>
              <w:spacing w:after="0" w:line="109" w:lineRule="exact"/>
              <w:rPr>
                <w:rFonts w:ascii="Times New Roman" w:cs="Times New Roman" w:eastAsia="Times New Roman" w:hAnsi="Times New Roman"/>
                <w:sz w:val="12"/>
                <w:szCs w:val="12"/>
                <w:color w:val="0000FF"/>
              </w:rPr>
            </w:pPr>
            <w:hyperlink r:id="rId209">
              <w:r>
                <w:rPr>
                  <w:rFonts w:ascii="Times New Roman" w:cs="Times New Roman" w:eastAsia="Times New Roman" w:hAnsi="Times New Roman"/>
                  <w:sz w:val="12"/>
                  <w:szCs w:val="12"/>
                  <w:color w:val="0000FF"/>
                </w:rPr>
                <w:t>Cayman Islands Branch, as administrative agent and collateral agent and the other parties thereto (incorporated herein by reference to Exhibit 10.25 to</w:t>
              </w:r>
            </w:hyperlink>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5680" w:type="dxa"/>
            <w:vAlign w:val="bottom"/>
            <w:tcBorders>
              <w:top w:val="single" w:sz="8" w:color="0000FF"/>
              <w:bottom w:val="single" w:sz="8" w:color="0000FF"/>
            </w:tcBorders>
            <w:gridSpan w:val="4"/>
          </w:tcPr>
          <w:p>
            <w:pPr>
              <w:spacing w:after="0" w:line="115" w:lineRule="exact"/>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the Company’s Registration Statement on Form S-1, as filed with the SEC on December 18, 2020)</w:t>
              </w:r>
            </w:hyperlink>
          </w:p>
        </w:tc>
        <w:tc>
          <w:tcPr>
            <w:tcW w:w="300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862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First Amendment to Credit Agreement, dated as of October 23, 2020, among Playtika Holding Corp., the lenders party thereto and Credit Suisse AG,</w:t>
              </w:r>
            </w:hyperlink>
          </w:p>
        </w:tc>
        <w:tc>
          <w:tcPr>
            <w:tcW w:w="13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10.1.2</w:t>
            </w:r>
          </w:p>
        </w:tc>
        <w:tc>
          <w:tcPr>
            <w:tcW w:w="9980" w:type="dxa"/>
            <w:vAlign w:val="bottom"/>
            <w:gridSpan w:val="21"/>
          </w:tcPr>
          <w:p>
            <w:pPr>
              <w:spacing w:after="0" w:line="12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Cayman Islands Branch, as administrative agent and collateral agent and the other parties thereto (incorporated herein by reference to Exhibit 10.26 to</w:t>
              </w:r>
            </w:hyperlink>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680" w:type="dxa"/>
            <w:vAlign w:val="bottom"/>
            <w:tcBorders>
              <w:top w:val="single" w:sz="8" w:color="0000FF"/>
            </w:tcBorders>
            <w:gridSpan w:val="18"/>
          </w:tcPr>
          <w:p>
            <w:pPr>
              <w:spacing w:after="0" w:line="115" w:lineRule="exact"/>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Amendment No. 1 to the Company’s Registration Statement on Form S-1, as filed with the SEC on January 7,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shd w:val="clear" w:color="auto" w:fill="CCEEFF"/>
          </w:tcPr>
          <w:p>
            <w:pPr>
              <w:spacing w:after="0"/>
              <w:rPr>
                <w:sz w:val="12"/>
                <w:szCs w:val="12"/>
                <w:color w:val="auto"/>
              </w:rPr>
            </w:pPr>
          </w:p>
        </w:tc>
        <w:tc>
          <w:tcPr>
            <w:tcW w:w="9980" w:type="dxa"/>
            <w:vAlign w:val="bottom"/>
            <w:gridSpan w:val="21"/>
            <w:shd w:val="clear" w:color="auto" w:fill="CCEEFF"/>
          </w:tcPr>
          <w:p>
            <w:pPr>
              <w:spacing w:after="0" w:line="14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Incremental Assumption Agreement No. 2, dated as of January 15, 2021, among Playtika Holding Corp., the lenders party thereto and Credit Suisse</w:t>
              </w:r>
            </w:hyperlink>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10.1.3</w:t>
            </w:r>
          </w:p>
        </w:tc>
        <w:tc>
          <w:tcPr>
            <w:tcW w:w="8540" w:type="dxa"/>
            <w:vAlign w:val="bottom"/>
            <w:tcBorders>
              <w:top w:val="single" w:sz="8" w:color="0000FF"/>
            </w:tcBorders>
            <w:gridSpan w:val="12"/>
            <w:shd w:val="clear" w:color="auto" w:fill="CCEEFF"/>
          </w:tcPr>
          <w:p>
            <w:pPr>
              <w:spacing w:after="0" w:line="12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AG, Cayman Islands Branch, as administrative agent and collateral agent and the other parties thereto (incorporated herein by reference to Exhibit</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tcBorders>
              <w:top w:val="single" w:sz="8" w:color="CCEEFF"/>
            </w:tcBorders>
            <w:vMerge w:val="continue"/>
            <w:shd w:val="clear" w:color="auto" w:fill="CCEEFF"/>
          </w:tcPr>
          <w:p>
            <w:pPr>
              <w:spacing w:after="0"/>
              <w:rPr>
                <w:sz w:val="10"/>
                <w:szCs w:val="10"/>
                <w:color w:val="auto"/>
              </w:rPr>
            </w:pPr>
          </w:p>
        </w:tc>
        <w:tc>
          <w:tcPr>
            <w:tcW w:w="8420" w:type="dxa"/>
            <w:vAlign w:val="bottom"/>
            <w:tcBorders>
              <w:top w:val="single" w:sz="8" w:color="0000FF"/>
            </w:tcBorders>
            <w:gridSpan w:val="9"/>
            <w:shd w:val="clear" w:color="auto" w:fill="CCEEFF"/>
          </w:tcPr>
          <w:p>
            <w:pPr>
              <w:spacing w:after="0" w:line="115" w:lineRule="exact"/>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10.1 to the Company’s Current Report on Form 8-K, as filed with the SEC on January 20, 2021)</w:t>
              </w:r>
            </w:hyperlink>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5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tcPr>
          <w:p>
            <w:pPr>
              <w:spacing w:after="0"/>
              <w:rPr>
                <w:sz w:val="12"/>
                <w:szCs w:val="12"/>
                <w:color w:val="auto"/>
              </w:rPr>
            </w:pPr>
          </w:p>
        </w:tc>
        <w:tc>
          <w:tcPr>
            <w:tcW w:w="9980" w:type="dxa"/>
            <w:vAlign w:val="bottom"/>
            <w:gridSpan w:val="21"/>
          </w:tcPr>
          <w:p>
            <w:pPr>
              <w:spacing w:after="0" w:line="14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Incremental Assumption Agreement No. 3 and Second Amendment to Credit Agreement, dated as of March 11, 2021, among Playtika Holding Corp.,</w:t>
              </w:r>
            </w:hyperlink>
          </w:p>
        </w:tc>
        <w:tc>
          <w:tcPr>
            <w:tcW w:w="0" w:type="dxa"/>
            <w:vAlign w:val="bottom"/>
          </w:tcPr>
          <w:p>
            <w:pPr>
              <w:spacing w:after="0"/>
              <w:rPr>
                <w:sz w:val="1"/>
                <w:szCs w:val="1"/>
                <w:color w:val="auto"/>
              </w:rPr>
            </w:pPr>
          </w:p>
        </w:tc>
      </w:tr>
      <w:tr>
        <w:trPr>
          <w:trHeight w:val="12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10.1.4</w:t>
            </w:r>
          </w:p>
        </w:tc>
        <w:tc>
          <w:tcPr>
            <w:tcW w:w="864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the subsidiary guarantors party thereto, the lenders party thereto and Credit Suisse AG, Cayman Islands Branch, as administrative agent (incorporated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620" w:type="dxa"/>
            <w:vAlign w:val="bottom"/>
            <w:tcBorders>
              <w:top w:val="single" w:sz="8" w:color="0000FF"/>
            </w:tcBorders>
            <w:gridSpan w:val="15"/>
          </w:tcPr>
          <w:p>
            <w:pPr>
              <w:spacing w:after="0" w:line="115" w:lineRule="exact"/>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herein by reference to Exhibit 10.1 to the Company’s Current Report on Form 8-K, as filed with the SEC on March 11, 2021)</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5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shd w:val="clear" w:color="auto" w:fill="CCEEFF"/>
          </w:tcPr>
          <w:p>
            <w:pPr>
              <w:spacing w:after="0"/>
              <w:rPr>
                <w:sz w:val="12"/>
                <w:szCs w:val="12"/>
                <w:color w:val="auto"/>
              </w:rPr>
            </w:pPr>
          </w:p>
        </w:tc>
        <w:tc>
          <w:tcPr>
            <w:tcW w:w="9980" w:type="dxa"/>
            <w:vAlign w:val="bottom"/>
            <w:gridSpan w:val="21"/>
            <w:shd w:val="clear" w:color="auto" w:fill="CCEEFF"/>
          </w:tcPr>
          <w:p>
            <w:pPr>
              <w:spacing w:after="0" w:line="14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Third Amendment to Credit Agreement, dated as of June 19, 2023, among Playtika Holding Corp., the lenders party thereto and Credit Suisse AG,</w:t>
              </w:r>
            </w:hyperlink>
          </w:p>
        </w:tc>
        <w:tc>
          <w:tcPr>
            <w:tcW w:w="0" w:type="dxa"/>
            <w:vAlign w:val="bottom"/>
          </w:tcPr>
          <w:p>
            <w:pPr>
              <w:spacing w:after="0"/>
              <w:rPr>
                <w:sz w:val="1"/>
                <w:szCs w:val="1"/>
                <w:color w:val="auto"/>
              </w:rPr>
            </w:pPr>
          </w:p>
        </w:tc>
      </w:tr>
      <w:tr>
        <w:trPr>
          <w:trHeight w:val="129"/>
        </w:trPr>
        <w:tc>
          <w:tcPr>
            <w:tcW w:w="1260" w:type="dxa"/>
            <w:vAlign w:val="bottom"/>
            <w:tcBorders>
              <w:top w:val="single" w:sz="8" w:color="CCEEFF"/>
            </w:tcBorders>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10.1.5</w:t>
            </w:r>
          </w:p>
        </w:tc>
        <w:tc>
          <w:tcPr>
            <w:tcW w:w="8460" w:type="dxa"/>
            <w:vAlign w:val="bottom"/>
            <w:tcBorders>
              <w:top w:val="single" w:sz="8" w:color="0000FF"/>
            </w:tcBorders>
            <w:gridSpan w:val="10"/>
            <w:shd w:val="clear" w:color="auto" w:fill="CCEEFF"/>
          </w:tcPr>
          <w:p>
            <w:pPr>
              <w:spacing w:after="0" w:line="12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Cayman Islands Branch, as administrative agent and collateral agent and the other parties thereto (incorporated herein by reference to Exhibit 10.1</w:t>
              </w:r>
            </w:hyperlink>
          </w:p>
        </w:tc>
        <w:tc>
          <w:tcPr>
            <w:tcW w:w="1520" w:type="dxa"/>
            <w:vAlign w:val="bottom"/>
            <w:tcBorders>
              <w:top w:val="single" w:sz="8" w:color="CCEEFF"/>
            </w:tcBorders>
            <w:gridSpan w:val="11"/>
            <w:shd w:val="clear" w:color="auto" w:fill="CCEEFF"/>
          </w:tcPr>
          <w:p>
            <w:pPr>
              <w:ind w:left="20"/>
              <w:spacing w:after="0" w:line="129" w:lineRule="exact"/>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to</w:t>
              </w:r>
            </w:hyperlink>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5080" w:type="dxa"/>
            <w:vAlign w:val="bottom"/>
            <w:tcBorders>
              <w:top w:val="single" w:sz="8" w:color="0000FF"/>
              <w:bottom w:val="single" w:sz="8" w:color="0000FF"/>
            </w:tcBorders>
            <w:gridSpan w:val="2"/>
            <w:shd w:val="clear" w:color="auto" w:fill="CCEEFF"/>
          </w:tcPr>
          <w:p>
            <w:pPr>
              <w:spacing w:after="0" w:line="115" w:lineRule="exact"/>
              <w:rPr>
                <w:rFonts w:ascii="Times New Roman" w:cs="Times New Roman" w:eastAsia="Times New Roman" w:hAnsi="Times New Roman"/>
                <w:sz w:val="13"/>
                <w:szCs w:val="13"/>
                <w:color w:val="0000FF"/>
              </w:rPr>
            </w:pPr>
            <w:hyperlink r:id="rId214">
              <w:r>
                <w:rPr>
                  <w:rFonts w:ascii="Times New Roman" w:cs="Times New Roman" w:eastAsia="Times New Roman" w:hAnsi="Times New Roman"/>
                  <w:sz w:val="13"/>
                  <w:szCs w:val="13"/>
                  <w:color w:val="0000FF"/>
                </w:rPr>
                <w:t>the Company’s Quarter Report on Form 10-Q, as filed with the SEC on August 8, 2023)</w:t>
              </w:r>
            </w:hyperlink>
          </w:p>
        </w:tc>
        <w:tc>
          <w:tcPr>
            <w:tcW w:w="3500" w:type="dxa"/>
            <w:vAlign w:val="bottom"/>
            <w:tcBorders>
              <w:top w:val="single" w:sz="8" w:color="0000FF"/>
              <w:bottom w:val="single" w:sz="8" w:color="CCEEFF"/>
            </w:tcBorders>
            <w:gridSpan w:val="12"/>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9980" w:type="dxa"/>
            <w:vAlign w:val="bottom"/>
            <w:gridSpan w:val="21"/>
          </w:tcPr>
          <w:p>
            <w:pPr>
              <w:spacing w:after="0" w:line="14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Fourth Amendment to Credit Agreement, dated as of April 23, 2025, among Playtika Holding Corp., the subsidiary guarantors party thereto, the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60" w:type="dxa"/>
            <w:vAlign w:val="bottom"/>
          </w:tcPr>
          <w:p>
            <w:pPr>
              <w:spacing w:after="0"/>
              <w:rPr>
                <w:sz w:val="11"/>
                <w:szCs w:val="11"/>
                <w:color w:val="auto"/>
              </w:rPr>
            </w:pPr>
          </w:p>
        </w:tc>
        <w:tc>
          <w:tcPr>
            <w:tcW w:w="9980" w:type="dxa"/>
            <w:vAlign w:val="bottom"/>
            <w:gridSpan w:val="21"/>
          </w:tcPr>
          <w:p>
            <w:pPr>
              <w:spacing w:after="0" w:line="12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lenders party thereto and UBS AG, Stamford Branch (as successor in interest to Credit Suisse AG, Cayman Islands Branch), as administrative agent</w:t>
              </w:r>
            </w:hyperlink>
          </w:p>
        </w:tc>
        <w:tc>
          <w:tcPr>
            <w:tcW w:w="0" w:type="dxa"/>
            <w:vAlign w:val="bottom"/>
          </w:tcPr>
          <w:p>
            <w:pPr>
              <w:spacing w:after="0"/>
              <w:rPr>
                <w:sz w:val="1"/>
                <w:szCs w:val="1"/>
                <w:color w:val="auto"/>
              </w:rPr>
            </w:pPr>
          </w:p>
        </w:tc>
      </w:tr>
      <w:tr>
        <w:trPr>
          <w:trHeight w:val="115"/>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10.1.6</w:t>
            </w:r>
          </w:p>
        </w:tc>
        <w:tc>
          <w:tcPr>
            <w:tcW w:w="8560" w:type="dxa"/>
            <w:vAlign w:val="bottom"/>
            <w:tcBorders>
              <w:top w:val="single" w:sz="8" w:color="0000FF"/>
              <w:bottom w:val="single" w:sz="8" w:color="0000FF"/>
            </w:tcBorders>
            <w:gridSpan w:val="13"/>
          </w:tcPr>
          <w:p>
            <w:pPr>
              <w:spacing w:after="0" w:line="115" w:lineRule="exact"/>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and collateral agent (incorporated herein by reference to Exhibit 10.1 to the Company’s Current Report on Form 8-K, as filed with the SEC on April</w:t>
              </w:r>
            </w:hyperlink>
          </w:p>
        </w:tc>
        <w:tc>
          <w:tcPr>
            <w:tcW w:w="20" w:type="dxa"/>
            <w:vAlign w:val="bottom"/>
            <w:tcBorders>
              <w:bottom w:val="single" w:sz="8" w:color="0000FF"/>
            </w:tcBorders>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5080" w:type="dxa"/>
            <w:vAlign w:val="bottom"/>
            <w:gridSpan w:val="2"/>
          </w:tcPr>
          <w:p>
            <w:pPr>
              <w:spacing w:after="0" w:line="129" w:lineRule="exact"/>
              <w:rPr>
                <w:rFonts w:ascii="Times New Roman" w:cs="Times New Roman" w:eastAsia="Times New Roman" w:hAnsi="Times New Roman"/>
                <w:sz w:val="14"/>
                <w:szCs w:val="14"/>
                <w:color w:val="0000FF"/>
              </w:rPr>
            </w:pPr>
            <w:hyperlink r:id="rId215">
              <w:r>
                <w:rPr>
                  <w:rFonts w:ascii="Times New Roman" w:cs="Times New Roman" w:eastAsia="Times New Roman" w:hAnsi="Times New Roman"/>
                  <w:sz w:val="14"/>
                  <w:szCs w:val="14"/>
                  <w:color w:val="0000FF"/>
                </w:rPr>
                <w:t>25, 2025)</w:t>
              </w:r>
            </w:hyperlink>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shd w:val="clear" w:color="auto" w:fill="CCEEFF"/>
          </w:tcPr>
          <w:p>
            <w:pPr>
              <w:spacing w:after="0"/>
              <w:rPr>
                <w:sz w:val="12"/>
                <w:szCs w:val="12"/>
                <w:color w:val="auto"/>
              </w:rPr>
            </w:pPr>
          </w:p>
        </w:tc>
        <w:tc>
          <w:tcPr>
            <w:tcW w:w="9980" w:type="dxa"/>
            <w:vAlign w:val="bottom"/>
            <w:gridSpan w:val="21"/>
            <w:shd w:val="clear" w:color="auto" w:fill="CCEEFF"/>
          </w:tcPr>
          <w:p>
            <w:pPr>
              <w:spacing w:after="0" w:line="14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Incremental Assumption Agreement No. 4 and Fifth Amendment to Credit Agreement, dated as of February 16, 2026, among Playtika Holding Corp.,</w:t>
              </w:r>
            </w:hyperlink>
          </w:p>
        </w:tc>
        <w:tc>
          <w:tcPr>
            <w:tcW w:w="0" w:type="dxa"/>
            <w:vAlign w:val="bottom"/>
          </w:tcPr>
          <w:p>
            <w:pPr>
              <w:spacing w:after="0"/>
              <w:rPr>
                <w:sz w:val="1"/>
                <w:szCs w:val="1"/>
                <w:color w:val="auto"/>
              </w:rPr>
            </w:pPr>
          </w:p>
        </w:tc>
      </w:tr>
      <w:tr>
        <w:trPr>
          <w:trHeight w:val="129"/>
        </w:trPr>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8660" w:type="dxa"/>
            <w:vAlign w:val="bottom"/>
            <w:tcBorders>
              <w:top w:val="single" w:sz="8" w:color="0000FF"/>
              <w:bottom w:val="single" w:sz="8" w:color="0000FF"/>
            </w:tcBorders>
            <w:gridSpan w:val="17"/>
            <w:shd w:val="clear" w:color="auto" w:fill="CCEEFF"/>
          </w:tcPr>
          <w:p>
            <w:pPr>
              <w:spacing w:after="0" w:line="12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the subsidiary guarantors party thereto, the lenders party thereto and Bank of America, N.A. (as successor in interest to UBS AG, Stamford Branch, as</w:t>
              </w:r>
            </w:hyperlink>
          </w:p>
        </w:tc>
        <w:tc>
          <w:tcPr>
            <w:tcW w:w="40" w:type="dxa"/>
            <w:vAlign w:val="bottom"/>
            <w:tcBorders>
              <w:top w:val="single" w:sz="8" w:color="CCEEFF"/>
              <w:bottom w:val="single" w:sz="8" w:color="0000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10.1.7</w:t>
            </w:r>
          </w:p>
        </w:tc>
        <w:tc>
          <w:tcPr>
            <w:tcW w:w="8700" w:type="dxa"/>
            <w:vAlign w:val="bottom"/>
            <w:gridSpan w:val="19"/>
            <w:shd w:val="clear" w:color="auto" w:fill="CCEEFF"/>
          </w:tcPr>
          <w:p>
            <w:pPr>
              <w:spacing w:after="0" w:line="115" w:lineRule="exact"/>
              <w:rPr>
                <w:rFonts w:ascii="Times New Roman" w:cs="Times New Roman" w:eastAsia="Times New Roman" w:hAnsi="Times New Roman"/>
                <w:sz w:val="13"/>
                <w:szCs w:val="13"/>
                <w:color w:val="0000FF"/>
              </w:rPr>
            </w:pPr>
            <w:hyperlink r:id="rId216">
              <w:r>
                <w:rPr>
                  <w:rFonts w:ascii="Times New Roman" w:cs="Times New Roman" w:eastAsia="Times New Roman" w:hAnsi="Times New Roman"/>
                  <w:sz w:val="13"/>
                  <w:szCs w:val="13"/>
                  <w:color w:val="0000FF"/>
                </w:rPr>
                <w:t>successor in interest to Credit Suisse AG, Cayman Islands Branch), as administrative agent and collateral agent (incorporated herein by reference to</w:t>
              </w:r>
            </w:hyperlink>
          </w:p>
        </w:tc>
        <w:tc>
          <w:tcPr>
            <w:tcW w:w="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vMerge w:val="continue"/>
            <w:shd w:val="clear" w:color="auto" w:fill="CCEEFF"/>
          </w:tcPr>
          <w:p>
            <w:pPr>
              <w:spacing w:after="0"/>
              <w:rPr>
                <w:sz w:val="11"/>
                <w:szCs w:val="11"/>
                <w:color w:val="auto"/>
              </w:rPr>
            </w:pPr>
          </w:p>
        </w:tc>
        <w:tc>
          <w:tcPr>
            <w:tcW w:w="8520" w:type="dxa"/>
            <w:vAlign w:val="bottom"/>
            <w:tcBorders>
              <w:top w:val="single" w:sz="8" w:color="0000FF"/>
            </w:tcBorders>
            <w:gridSpan w:val="11"/>
            <w:shd w:val="clear" w:color="auto" w:fill="CCEEFF"/>
          </w:tcPr>
          <w:p>
            <w:pPr>
              <w:spacing w:after="0" w:line="129" w:lineRule="exact"/>
              <w:rPr>
                <w:rFonts w:ascii="Times New Roman" w:cs="Times New Roman" w:eastAsia="Times New Roman" w:hAnsi="Times New Roman"/>
                <w:sz w:val="14"/>
                <w:szCs w:val="14"/>
                <w:color w:val="0000FF"/>
              </w:rPr>
            </w:pPr>
            <w:hyperlink r:id="rId216">
              <w:r>
                <w:rPr>
                  <w:rFonts w:ascii="Times New Roman" w:cs="Times New Roman" w:eastAsia="Times New Roman" w:hAnsi="Times New Roman"/>
                  <w:sz w:val="14"/>
                  <w:szCs w:val="14"/>
                  <w:color w:val="0000FF"/>
                </w:rPr>
                <w:t>Exhibit 10.1 to the Company’s Current Report on Form 8-K, as filed with the SEC on February 17, 2026)</w:t>
              </w:r>
            </w:hyperlink>
          </w:p>
        </w:tc>
        <w:tc>
          <w:tcPr>
            <w:tcW w:w="200" w:type="dxa"/>
            <w:vAlign w:val="bottom"/>
            <w:tcBorders>
              <w:top w:val="single" w:sz="8" w:color="CCEEFF"/>
            </w:tcBorders>
            <w:gridSpan w:val="9"/>
            <w:shd w:val="clear" w:color="auto" w:fill="CCEEFF"/>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45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10.2</w:t>
            </w:r>
          </w:p>
        </w:tc>
        <w:tc>
          <w:tcPr>
            <w:tcW w:w="9980" w:type="dxa"/>
            <w:vAlign w:val="bottom"/>
            <w:gridSpan w:val="21"/>
          </w:tcPr>
          <w:p>
            <w:pPr>
              <w:spacing w:after="0" w:line="149" w:lineRule="exact"/>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Form of Indemnification Agreement between Playtika Holding Corp. and its directors and officers (incorporated herein by reference to Exhibit 10.1 to</w:t>
              </w:r>
            </w:hyperlink>
          </w:p>
        </w:tc>
        <w:tc>
          <w:tcPr>
            <w:tcW w:w="0" w:type="dxa"/>
            <w:vAlign w:val="bottom"/>
          </w:tcPr>
          <w:p>
            <w:pPr>
              <w:spacing w:after="0"/>
              <w:rPr>
                <w:sz w:val="1"/>
                <w:szCs w:val="1"/>
                <w:color w:val="auto"/>
              </w:rPr>
            </w:pPr>
          </w:p>
        </w:tc>
      </w:tr>
      <w:tr>
        <w:trPr>
          <w:trHeight w:val="129"/>
        </w:trPr>
        <w:tc>
          <w:tcPr>
            <w:tcW w:w="1260" w:type="dxa"/>
            <w:vAlign w:val="bottom"/>
            <w:vMerge w:val="continue"/>
          </w:tcPr>
          <w:p>
            <w:pPr>
              <w:spacing w:after="0"/>
              <w:rPr>
                <w:sz w:val="11"/>
                <w:szCs w:val="11"/>
                <w:color w:val="auto"/>
              </w:rPr>
            </w:pPr>
          </w:p>
        </w:tc>
        <w:tc>
          <w:tcPr>
            <w:tcW w:w="568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217">
              <w:r>
                <w:rPr>
                  <w:rFonts w:ascii="Times New Roman" w:cs="Times New Roman" w:eastAsia="Times New Roman" w:hAnsi="Times New Roman"/>
                  <w:sz w:val="14"/>
                  <w:szCs w:val="14"/>
                  <w:color w:val="0000FF"/>
                </w:rPr>
                <w:t>the Company’s Registration Statement on Form S-1, as filed with the SEC on December 18, 2020)</w:t>
              </w:r>
            </w:hyperlink>
          </w:p>
        </w:tc>
        <w:tc>
          <w:tcPr>
            <w:tcW w:w="3040" w:type="dxa"/>
            <w:vAlign w:val="bottom"/>
            <w:tcBorders>
              <w:top w:val="single" w:sz="8" w:color="0000FF"/>
            </w:tcBorders>
            <w:gridSpan w:val="16"/>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3" w:name="page144"/>
    <w:bookmarkEnd w:id="143"/>
    <w:tbl>
      <w:tblPr>
        <w:tblLayout w:type="fixed"/>
        <w:tblInd w:w="8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700" w:type="dxa"/>
            <w:vAlign w:val="bottom"/>
          </w:tcPr>
          <w:p>
            <w:pPr>
              <w:jc w:val="center"/>
              <w:ind w:left="1988"/>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24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700" w:type="dxa"/>
            <w:vAlign w:val="bottom"/>
          </w:tcPr>
          <w:p>
            <w:pPr>
              <w:jc w:val="center"/>
              <w:ind w:left="1988"/>
              <w:spacing w:after="0" w:line="146"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2960" w:type="dxa"/>
            <w:vAlign w:val="bottom"/>
            <w:vMerge w:val="continue"/>
          </w:tcPr>
          <w:p>
            <w:pPr>
              <w:spacing w:after="0"/>
              <w:rPr>
                <w:sz w:val="16"/>
                <w:szCs w:val="16"/>
                <w:color w:val="auto"/>
              </w:rPr>
            </w:pPr>
          </w:p>
        </w:tc>
        <w:tc>
          <w:tcPr>
            <w:tcW w:w="5240" w:type="dxa"/>
            <w:vAlign w:val="bottom"/>
            <w:vMerge w:val="continue"/>
          </w:tcPr>
          <w:p>
            <w:pPr>
              <w:spacing w:after="0"/>
              <w:rPr>
                <w:sz w:val="16"/>
                <w:szCs w:val="16"/>
                <w:color w:val="auto"/>
              </w:rPr>
            </w:pPr>
          </w:p>
        </w:tc>
        <w:tc>
          <w:tcPr>
            <w:tcW w:w="2700" w:type="dxa"/>
            <w:vAlign w:val="bottom"/>
          </w:tcPr>
          <w:p>
            <w:pPr>
              <w:jc w:val="center"/>
              <w:ind w:left="198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439" w:right="339" w:bottom="1440" w:gutter="0" w:footer="0" w:header="0"/>
        </w:sectPr>
      </w:pP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10.3</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ind w:right="1420"/>
        <w:spacing w:after="0" w:line="251" w:lineRule="auto"/>
        <w:rPr>
          <w:rFonts w:ascii="Times New Roman" w:cs="Times New Roman" w:eastAsia="Times New Roman" w:hAnsi="Times New Roman"/>
          <w:sz w:val="14"/>
          <w:szCs w:val="14"/>
          <w:u w:val="single" w:color="auto"/>
          <w:color w:val="0000FF"/>
        </w:rPr>
      </w:pPr>
      <w:hyperlink r:id="rId219">
        <w:r>
          <w:rPr>
            <w:rFonts w:ascii="Times New Roman" w:cs="Times New Roman" w:eastAsia="Times New Roman" w:hAnsi="Times New Roman"/>
            <w:sz w:val="14"/>
            <w:szCs w:val="14"/>
            <w:u w:val="single" w:color="auto"/>
            <w:color w:val="0000FF"/>
          </w:rPr>
          <w:t>Employee Stock Purchase Plan (incorporated herein by reference to Exhibit 10.23 to Amendment No. 1 to the Company’s Registration Statement on</w:t>
        </w:r>
      </w:hyperlink>
      <w:r>
        <w:rPr>
          <w:rFonts w:ascii="Times New Roman" w:cs="Times New Roman" w:eastAsia="Times New Roman" w:hAnsi="Times New Roman"/>
          <w:sz w:val="14"/>
          <w:szCs w:val="14"/>
          <w:u w:val="single" w:color="auto"/>
          <w:color w:val="0000FF"/>
        </w:rPr>
        <w:t xml:space="preserve"> </w:t>
      </w:r>
      <w:hyperlink r:id="rId219">
        <w:r>
          <w:rPr>
            <w:rFonts w:ascii="Times New Roman" w:cs="Times New Roman" w:eastAsia="Times New Roman" w:hAnsi="Times New Roman"/>
            <w:sz w:val="14"/>
            <w:szCs w:val="14"/>
            <w:u w:val="single" w:color="auto"/>
            <w:color w:val="0000FF"/>
          </w:rPr>
          <w:t>Form S-1, as filed with the SEC on January 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-207645</wp:posOffset>
            </wp:positionV>
            <wp:extent cx="7132320"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right="1300"/>
        <w:spacing w:after="0" w:line="261" w:lineRule="auto"/>
        <w:rPr>
          <w:rFonts w:ascii="Times New Roman" w:cs="Times New Roman" w:eastAsia="Times New Roman" w:hAnsi="Times New Roman"/>
          <w:sz w:val="14"/>
          <w:szCs w:val="14"/>
          <w:u w:val="single" w:color="auto"/>
          <w:color w:val="0000FF"/>
        </w:rPr>
      </w:pPr>
      <w:hyperlink r:id="rId221">
        <w:r>
          <w:rPr>
            <w:rFonts w:ascii="Times New Roman" w:cs="Times New Roman" w:eastAsia="Times New Roman" w:hAnsi="Times New Roman"/>
            <w:sz w:val="14"/>
            <w:szCs w:val="14"/>
            <w:u w:val="single" w:color="auto"/>
            <w:color w:val="0000FF"/>
          </w:rPr>
          <w:t>Share Purchase Agreement, dated as of September 14, 2023, by and among Playtika Ltd., G.S. InnPlay Labs Ltd. and the shareholders of InnPlay Labs</w:t>
        </w:r>
      </w:hyperlink>
      <w:r>
        <w:rPr>
          <w:rFonts w:ascii="Times New Roman" w:cs="Times New Roman" w:eastAsia="Times New Roman" w:hAnsi="Times New Roman"/>
          <w:sz w:val="14"/>
          <w:szCs w:val="14"/>
          <w:u w:val="single" w:color="auto"/>
          <w:color w:val="0000FF"/>
        </w:rPr>
        <w:t xml:space="preserve"> </w:t>
      </w:r>
      <w:hyperlink r:id="rId221">
        <w:r>
          <w:rPr>
            <w:rFonts w:ascii="Times New Roman" w:cs="Times New Roman" w:eastAsia="Times New Roman" w:hAnsi="Times New Roman"/>
            <w:sz w:val="14"/>
            <w:szCs w:val="14"/>
            <w:u w:val="single" w:color="auto"/>
            <w:color w:val="0000FF"/>
          </w:rPr>
          <w:t>Ltd. (incorporated herein by reference to Exhibit 2.1 to the Company’s Current Report on Form 8-K, as filed with the SEC on September 15,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-1270</wp:posOffset>
            </wp:positionV>
            <wp:extent cx="7132320" cy="3511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ind w:right="1400"/>
        <w:spacing w:after="0" w:line="261" w:lineRule="auto"/>
        <w:rPr>
          <w:rFonts w:ascii="Times New Roman" w:cs="Times New Roman" w:eastAsia="Times New Roman" w:hAnsi="Times New Roman"/>
          <w:sz w:val="14"/>
          <w:szCs w:val="14"/>
          <w:u w:val="single" w:color="auto"/>
          <w:color w:val="0000FF"/>
        </w:rPr>
      </w:pPr>
      <w:hyperlink r:id="rId223">
        <w:r>
          <w:rPr>
            <w:rFonts w:ascii="Times New Roman" w:cs="Times New Roman" w:eastAsia="Times New Roman" w:hAnsi="Times New Roman"/>
            <w:sz w:val="14"/>
            <w:szCs w:val="14"/>
            <w:u w:val="single" w:color="auto"/>
            <w:color w:val="0000FF"/>
          </w:rPr>
          <w:t>First Amendment to Share Purchase Agreement, dated as of June 18, 2024, by and among Playtika Ltd., G.S. InnPlay Labs Ltd, and the shareholders</w:t>
        </w:r>
      </w:hyperlink>
      <w:r>
        <w:rPr>
          <w:rFonts w:ascii="Times New Roman" w:cs="Times New Roman" w:eastAsia="Times New Roman" w:hAnsi="Times New Roman"/>
          <w:sz w:val="14"/>
          <w:szCs w:val="14"/>
          <w:u w:val="single" w:color="auto"/>
          <w:color w:val="0000FF"/>
        </w:rPr>
        <w:t xml:space="preserve"> </w:t>
      </w:r>
      <w:hyperlink r:id="rId223">
        <w:r>
          <w:rPr>
            <w:rFonts w:ascii="Times New Roman" w:cs="Times New Roman" w:eastAsia="Times New Roman" w:hAnsi="Times New Roman"/>
            <w:sz w:val="14"/>
            <w:szCs w:val="14"/>
            <w:u w:val="single" w:color="auto"/>
            <w:color w:val="0000FF"/>
          </w:rPr>
          <w:t>of InnPlay Labs Ltd. (incorporated herein by reference to Exhibit 2.1 to the Company's Quarterly Report on Form 10-Q, as filed with the SEC on</w:t>
        </w:r>
      </w:hyperlink>
    </w:p>
    <w:p>
      <w:pPr>
        <w:spacing w:after="0" w:line="1" w:lineRule="exact"/>
        <w:rPr>
          <w:sz w:val="20"/>
          <w:szCs w:val="20"/>
          <w:color w:val="auto"/>
        </w:rPr>
      </w:pPr>
    </w:p>
    <w:p>
      <w:pPr>
        <w:sectPr>
          <w:pgSz w:w="11900" w:h="16838" w:orient="portrait"/>
          <w:cols w:equalWidth="0" w:num="2">
            <w:col w:w="540" w:space="720"/>
            <w:col w:w="9980"/>
          </w:cols>
          <w:pgMar w:left="320" w:top="1439" w:right="3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1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10.4.1</w:t>
            </w:r>
          </w:p>
        </w:tc>
        <w:tc>
          <w:tcPr>
            <w:tcW w:w="940" w:type="dxa"/>
            <w:vAlign w:val="bottom"/>
            <w:tcBorders>
              <w:bottom w:val="single" w:sz="8" w:color="0000FF"/>
            </w:tcBorders>
          </w:tcPr>
          <w:p>
            <w:pPr>
              <w:spacing w:after="0" w:line="145"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August 7, 2024)</w:t>
              </w:r>
            </w:hyperlink>
          </w:p>
        </w:tc>
        <w:tc>
          <w:tcPr>
            <w:tcW w:w="8080" w:type="dxa"/>
            <w:vAlign w:val="bottom"/>
            <w:gridSpan w:val="38"/>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020" w:type="dxa"/>
            <w:vAlign w:val="bottom"/>
            <w:gridSpan w:val="39"/>
          </w:tcPr>
          <w:p>
            <w:pPr>
              <w:spacing w:after="0"/>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Share Purchase Agreement, dated as of September 18, 2024, by and among Playtika Holding Corp., Playtika Ltd., SuperPlay Ltd., the shareholders of</w:t>
              </w:r>
            </w:hyperlink>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10.5</w:t>
            </w:r>
          </w:p>
        </w:tc>
        <w:tc>
          <w:tcPr>
            <w:tcW w:w="8400" w:type="dxa"/>
            <w:vAlign w:val="bottom"/>
            <w:tcBorders>
              <w:top w:val="single" w:sz="8" w:color="0000FF"/>
              <w:bottom w:val="single" w:sz="8" w:color="0000FF"/>
            </w:tcBorders>
            <w:gridSpan w:val="28"/>
          </w:tcPr>
          <w:p>
            <w:pPr>
              <w:spacing w:after="0" w:line="142"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SuperPlay Ltd. and Gigi Levy-Weiss, as the shareholder representative (incorporated herein by reference to Exhibit 2.1 to the Company’s Current</w:t>
              </w:r>
            </w:hyperlink>
          </w:p>
        </w:tc>
        <w:tc>
          <w:tcPr>
            <w:tcW w:w="22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9020" w:type="dxa"/>
            <w:vAlign w:val="bottom"/>
            <w:gridSpan w:val="39"/>
          </w:tcPr>
          <w:p>
            <w:pPr>
              <w:spacing w:after="0" w:line="155" w:lineRule="exact"/>
              <w:rPr>
                <w:rFonts w:ascii="Times New Roman" w:cs="Times New Roman" w:eastAsia="Times New Roman" w:hAnsi="Times New Roman"/>
                <w:sz w:val="14"/>
                <w:szCs w:val="14"/>
                <w:color w:val="0000FF"/>
              </w:rPr>
            </w:pPr>
            <w:hyperlink r:id="rId224">
              <w:r>
                <w:rPr>
                  <w:rFonts w:ascii="Times New Roman" w:cs="Times New Roman" w:eastAsia="Times New Roman" w:hAnsi="Times New Roman"/>
                  <w:sz w:val="14"/>
                  <w:szCs w:val="14"/>
                  <w:color w:val="0000FF"/>
                </w:rPr>
                <w:t>Report on Form 8-K, as filed with the SEC on September 20, 2024)</w:t>
              </w:r>
            </w:hyperlink>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10.5.1</w:t>
            </w:r>
          </w:p>
        </w:tc>
        <w:tc>
          <w:tcPr>
            <w:tcW w:w="9020" w:type="dxa"/>
            <w:vAlign w:val="bottom"/>
            <w:gridSpan w:val="3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First Amendment to Share Purchase Agreement, dated as of January 16, 2025, by and among Playtika Holding Corp., Playtika Ltd., SuperPlay Ltd.,</w:t>
            </w:r>
          </w:p>
        </w:tc>
        <w:tc>
          <w:tcPr>
            <w:tcW w:w="9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9"/>
        </w:trPr>
        <w:tc>
          <w:tcPr>
            <w:tcW w:w="1260" w:type="dxa"/>
            <w:vAlign w:val="bottom"/>
            <w:tcBorders>
              <w:top w:val="single" w:sz="8" w:color="CCEEFF"/>
            </w:tcBorders>
            <w:vMerge w:val="continue"/>
            <w:shd w:val="clear" w:color="auto" w:fill="CCEEFF"/>
          </w:tcPr>
          <w:p>
            <w:pPr>
              <w:spacing w:after="0"/>
              <w:rPr>
                <w:sz w:val="11"/>
                <w:szCs w:val="11"/>
                <w:color w:val="auto"/>
              </w:rPr>
            </w:pPr>
          </w:p>
        </w:tc>
        <w:tc>
          <w:tcPr>
            <w:tcW w:w="8540" w:type="dxa"/>
            <w:vAlign w:val="bottom"/>
            <w:tcBorders>
              <w:top w:val="single" w:sz="8" w:color="0000FF"/>
            </w:tcBorders>
            <w:gridSpan w:val="31"/>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the shareholders of SuperPlay Ltd. and Gigi Levy-Weiss, as the shareholder representative</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tcPr>
          <w:p>
            <w:pPr>
              <w:spacing w:after="0"/>
              <w:rPr>
                <w:sz w:val="12"/>
                <w:szCs w:val="12"/>
                <w:color w:val="auto"/>
              </w:rPr>
            </w:pP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Second Amendment to Share Purchase Agreement, dated as of May 29, 2025, by and among Playtika Holding Corp., Playtika Ltd., SuperPlay Ltd.,</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10.5.2</w:t>
            </w:r>
          </w:p>
        </w:tc>
        <w:tc>
          <w:tcPr>
            <w:tcW w:w="8520" w:type="dxa"/>
            <w:vAlign w:val="bottom"/>
            <w:tcBorders>
              <w:top w:val="single" w:sz="8" w:color="0000FF"/>
            </w:tcBorders>
            <w:gridSpan w:val="30"/>
          </w:tcPr>
          <w:p>
            <w:pPr>
              <w:spacing w:after="0" w:line="129" w:lineRule="exact"/>
              <w:rPr>
                <w:rFonts w:ascii="Times New Roman" w:cs="Times New Roman" w:eastAsia="Times New Roman" w:hAnsi="Times New Roman"/>
                <w:sz w:val="14"/>
                <w:szCs w:val="14"/>
                <w:color w:val="0000FF"/>
              </w:rPr>
            </w:pPr>
            <w:hyperlink r:id="rId225">
              <w:r>
                <w:rPr>
                  <w:rFonts w:ascii="Times New Roman" w:cs="Times New Roman" w:eastAsia="Times New Roman" w:hAnsi="Times New Roman"/>
                  <w:sz w:val="14"/>
                  <w:szCs w:val="14"/>
                  <w:color w:val="0000FF"/>
                </w:rPr>
                <w:t>the shareholders of SuperPlay Ltd. and Gigi Levy-Weiss, as the shareholder representative (incorporated herein by reference to Exhibit 2.1 to the</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60" w:type="dxa"/>
            <w:vAlign w:val="bottom"/>
            <w:vMerge w:val="continue"/>
          </w:tcPr>
          <w:p>
            <w:pPr>
              <w:spacing w:after="0"/>
              <w:rPr>
                <w:sz w:val="10"/>
                <w:szCs w:val="10"/>
                <w:color w:val="auto"/>
              </w:rPr>
            </w:pPr>
          </w:p>
        </w:tc>
        <w:tc>
          <w:tcPr>
            <w:tcW w:w="8340" w:type="dxa"/>
            <w:vAlign w:val="bottom"/>
            <w:tcBorders>
              <w:top w:val="single" w:sz="8" w:color="0000FF"/>
            </w:tcBorders>
            <w:gridSpan w:val="26"/>
          </w:tcPr>
          <w:p>
            <w:pPr>
              <w:spacing w:after="0" w:line="115" w:lineRule="exact"/>
              <w:rPr>
                <w:rFonts w:ascii="Times New Roman" w:cs="Times New Roman" w:eastAsia="Times New Roman" w:hAnsi="Times New Roman"/>
                <w:sz w:val="13"/>
                <w:szCs w:val="13"/>
                <w:color w:val="0000FF"/>
              </w:rPr>
            </w:pPr>
            <w:hyperlink r:id="rId225">
              <w:r>
                <w:rPr>
                  <w:rFonts w:ascii="Times New Roman" w:cs="Times New Roman" w:eastAsia="Times New Roman" w:hAnsi="Times New Roman"/>
                  <w:sz w:val="13"/>
                  <w:szCs w:val="13"/>
                  <w:color w:val="0000FF"/>
                </w:rPr>
                <w:t>Company's Quarterly Report on Form 10-Q, as filed with the SEC on August 7, 2025)</w:t>
              </w:r>
            </w:hyperlink>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10.5.3</w:t>
            </w:r>
          </w:p>
        </w:tc>
        <w:tc>
          <w:tcPr>
            <w:tcW w:w="9020" w:type="dxa"/>
            <w:vAlign w:val="bottom"/>
            <w:gridSpan w:val="3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Third Amendment to Share Purchase Agreement, dated as of January 13, 2026, by and among Playtika Holding Corp., Playtika Ltd., SuperPlay Ltd.,</w:t>
            </w:r>
          </w:p>
        </w:tc>
        <w:tc>
          <w:tcPr>
            <w:tcW w:w="96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vMerge w:val="continue"/>
            <w:shd w:val="clear" w:color="auto" w:fill="CCEEFF"/>
          </w:tcPr>
          <w:p>
            <w:pPr>
              <w:spacing w:after="0"/>
              <w:rPr>
                <w:sz w:val="11"/>
                <w:szCs w:val="11"/>
                <w:color w:val="auto"/>
              </w:rPr>
            </w:pPr>
          </w:p>
        </w:tc>
        <w:tc>
          <w:tcPr>
            <w:tcW w:w="8580" w:type="dxa"/>
            <w:vAlign w:val="bottom"/>
            <w:tcBorders>
              <w:top w:val="single" w:sz="8" w:color="0000FF"/>
            </w:tcBorders>
            <w:gridSpan w:val="33"/>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the shareholders of SuperPlay Ltd. and Gigi Levy-Weiss, as the shareholder representative</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10.6#</w:t>
            </w: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2020 Incentive Award Plan, including Sub-Plan for Israeli Participants (incorporated herein by reference to Exhibit 10.17 to the Company’s</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04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26">
              <w:r>
                <w:rPr>
                  <w:rFonts w:ascii="Times New Roman" w:cs="Times New Roman" w:eastAsia="Times New Roman" w:hAnsi="Times New Roman"/>
                  <w:sz w:val="14"/>
                  <w:szCs w:val="14"/>
                  <w:color w:val="0000FF"/>
                </w:rPr>
                <w:t>Registration Statement on Form S-1, as filed with the SEC on December 18, 2020)</w:t>
              </w:r>
            </w:hyperlink>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10.6.1#</w:t>
            </w:r>
          </w:p>
        </w:tc>
        <w:tc>
          <w:tcPr>
            <w:tcW w:w="9020" w:type="dxa"/>
            <w:vAlign w:val="bottom"/>
            <w:gridSpan w:val="39"/>
            <w:shd w:val="clear" w:color="auto" w:fill="CCEEFF"/>
          </w:tcPr>
          <w:p>
            <w:pPr>
              <w:spacing w:after="0" w:line="149"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Amendment No. 1 to Playtika Holding Corp. 2020 Incentive Award Plan (incorporated herein by reference to Exhibit 10.18 to the Company’s</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4780" w:type="dxa"/>
            <w:vAlign w:val="bottom"/>
            <w:tcBorders>
              <w:top w:val="single" w:sz="8" w:color="0000FF"/>
              <w:bottom w:val="single" w:sz="8" w:color="0000FF"/>
            </w:tcBorders>
            <w:gridSpan w:val="5"/>
            <w:shd w:val="clear" w:color="auto" w:fill="CCEEFF"/>
          </w:tcPr>
          <w:p>
            <w:pPr>
              <w:spacing w:after="0" w:line="129" w:lineRule="exact"/>
              <w:rPr>
                <w:rFonts w:ascii="Times New Roman" w:cs="Times New Roman" w:eastAsia="Times New Roman" w:hAnsi="Times New Roman"/>
                <w:sz w:val="14"/>
                <w:szCs w:val="14"/>
                <w:color w:val="0000FF"/>
              </w:rPr>
            </w:pPr>
            <w:hyperlink r:id="rId227">
              <w:r>
                <w:rPr>
                  <w:rFonts w:ascii="Times New Roman" w:cs="Times New Roman" w:eastAsia="Times New Roman" w:hAnsi="Times New Roman"/>
                  <w:sz w:val="14"/>
                  <w:szCs w:val="14"/>
                  <w:color w:val="0000FF"/>
                </w:rPr>
                <w:t>Registration Statement on Form S-1, as filed with the SEC on December 18, 2020)</w:t>
              </w:r>
            </w:hyperlink>
          </w:p>
        </w:tc>
        <w:tc>
          <w:tcPr>
            <w:tcW w:w="3400" w:type="dxa"/>
            <w:vAlign w:val="bottom"/>
            <w:tcBorders>
              <w:top w:val="single" w:sz="8" w:color="0000FF"/>
              <w:bottom w:val="single" w:sz="8" w:color="CCEEFF"/>
            </w:tcBorders>
            <w:gridSpan w:val="17"/>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10.6.2#</w:t>
            </w:r>
          </w:p>
        </w:tc>
        <w:tc>
          <w:tcPr>
            <w:tcW w:w="9020" w:type="dxa"/>
            <w:vAlign w:val="bottom"/>
            <w:gridSpan w:val="39"/>
          </w:tcPr>
          <w:p>
            <w:pPr>
              <w:spacing w:after="0" w:line="149" w:lineRule="exact"/>
              <w:rPr>
                <w:sz w:val="20"/>
                <w:szCs w:val="20"/>
                <w:color w:val="auto"/>
              </w:rPr>
            </w:pPr>
            <w:r>
              <w:rPr>
                <w:rFonts w:ascii="Times New Roman" w:cs="Times New Roman" w:eastAsia="Times New Roman" w:hAnsi="Times New Roman"/>
                <w:sz w:val="14"/>
                <w:szCs w:val="14"/>
                <w:color w:val="0000FF"/>
              </w:rPr>
              <w:t>Form of Restricted Stock Unit Agreement under 2020 Incentive Award Plan (U.S. Non-Executives)</w:t>
            </w:r>
          </w:p>
        </w:tc>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9020" w:type="dxa"/>
            <w:vAlign w:val="bottom"/>
            <w:gridSpan w:val="3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Restricted Stock Unit Agreement under 2020 Incentive Award Plan (U.S. Executives)</w:t>
            </w:r>
          </w:p>
        </w:tc>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10.6.4#</w:t>
            </w:r>
          </w:p>
        </w:tc>
        <w:tc>
          <w:tcPr>
            <w:tcW w:w="9020" w:type="dxa"/>
            <w:vAlign w:val="bottom"/>
            <w:gridSpan w:val="39"/>
          </w:tcPr>
          <w:p>
            <w:pPr>
              <w:spacing w:after="0" w:line="149" w:lineRule="exact"/>
              <w:rPr>
                <w:sz w:val="20"/>
                <w:szCs w:val="20"/>
                <w:color w:val="auto"/>
              </w:rPr>
            </w:pPr>
            <w:r>
              <w:rPr>
                <w:rFonts w:ascii="Times New Roman" w:cs="Times New Roman" w:eastAsia="Times New Roman" w:hAnsi="Times New Roman"/>
                <w:sz w:val="14"/>
                <w:szCs w:val="14"/>
                <w:color w:val="0000FF"/>
              </w:rPr>
              <w:t>Form of Restricted Stock Unit Agreement under 2020 Incentive Award Plan (Israel 102 Non-Executives)</w:t>
            </w:r>
          </w:p>
        </w:tc>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5760" w:type="dxa"/>
            <w:vAlign w:val="bottom"/>
            <w:tcBorders>
              <w:bottom w:val="single" w:sz="8" w:color="0000FF"/>
            </w:tcBorders>
            <w:gridSpan w:val="1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Restricted Stock Unit Agreement under 2020 Incentive Award Plan (Israel 102 Executives)</w:t>
            </w:r>
          </w:p>
        </w:tc>
        <w:tc>
          <w:tcPr>
            <w:tcW w:w="3260" w:type="dxa"/>
            <w:vAlign w:val="bottom"/>
            <w:tcBorders>
              <w:bottom w:val="single" w:sz="8" w:color="CCEEFF"/>
            </w:tcBorders>
            <w:gridSpan w:val="23"/>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10.6.6#</w:t>
            </w:r>
          </w:p>
        </w:tc>
        <w:tc>
          <w:tcPr>
            <w:tcW w:w="9020" w:type="dxa"/>
            <w:vAlign w:val="bottom"/>
            <w:gridSpan w:val="39"/>
          </w:tcPr>
          <w:p>
            <w:pPr>
              <w:spacing w:after="0" w:line="149" w:lineRule="exact"/>
              <w:rPr>
                <w:sz w:val="20"/>
                <w:szCs w:val="20"/>
                <w:color w:val="auto"/>
              </w:rPr>
            </w:pPr>
            <w:r>
              <w:rPr>
                <w:rFonts w:ascii="Times New Roman" w:cs="Times New Roman" w:eastAsia="Times New Roman" w:hAnsi="Times New Roman"/>
                <w:sz w:val="14"/>
                <w:szCs w:val="14"/>
                <w:color w:val="0000FF"/>
              </w:rPr>
              <w:t>Form of Restricted Stock Unit Agreement under 2020 Incentive Award Plan (Israel 3(i))</w:t>
            </w:r>
          </w:p>
        </w:tc>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10.6.7#</w:t>
            </w:r>
          </w:p>
        </w:tc>
        <w:tc>
          <w:tcPr>
            <w:tcW w:w="9020" w:type="dxa"/>
            <w:vAlign w:val="bottom"/>
            <w:gridSpan w:val="3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Restricted Stock Unit Agreement under 2020 Incentive Award Plan (Non-Israel Global)</w:t>
            </w:r>
          </w:p>
        </w:tc>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10.6.8#</w:t>
            </w: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Form of Stock Option Agreement under 2020 Incentive Award Plan (U.S.)(incorporated herein by reference to Exhibit 10.21 to the Company’s</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60" w:type="dxa"/>
            <w:vAlign w:val="bottom"/>
            <w:vMerge w:val="continue"/>
          </w:tcPr>
          <w:p>
            <w:pPr>
              <w:spacing w:after="0"/>
              <w:rPr>
                <w:sz w:val="11"/>
                <w:szCs w:val="11"/>
                <w:color w:val="auto"/>
              </w:rPr>
            </w:pPr>
          </w:p>
        </w:tc>
        <w:tc>
          <w:tcPr>
            <w:tcW w:w="824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228">
              <w:r>
                <w:rPr>
                  <w:rFonts w:ascii="Times New Roman" w:cs="Times New Roman" w:eastAsia="Times New Roman" w:hAnsi="Times New Roman"/>
                  <w:sz w:val="14"/>
                  <w:szCs w:val="14"/>
                  <w:color w:val="0000FF"/>
                </w:rPr>
                <w:t>Registration Statement on Form S-1, as filed with the SEC on December 18, 2020)</w:t>
              </w:r>
            </w:hyperlink>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10.6.9#</w:t>
            </w:r>
          </w:p>
        </w:tc>
        <w:tc>
          <w:tcPr>
            <w:tcW w:w="9020" w:type="dxa"/>
            <w:vAlign w:val="bottom"/>
            <w:gridSpan w:val="39"/>
            <w:shd w:val="clear" w:color="auto" w:fill="CCEEFF"/>
          </w:tcPr>
          <w:p>
            <w:pPr>
              <w:spacing w:after="0" w:line="149"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Form of Stock Option Agreement under 2020 Incentive Award Plan (Israel 102)(incorporated herein by reference to Exhibit 10.22 to the Company’s</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4780" w:type="dxa"/>
            <w:vAlign w:val="bottom"/>
            <w:tcBorders>
              <w:top w:val="single" w:sz="8" w:color="0000FF"/>
              <w:bottom w:val="single" w:sz="8" w:color="0000FF"/>
            </w:tcBorders>
            <w:gridSpan w:val="5"/>
            <w:shd w:val="clear" w:color="auto" w:fill="CCEEFF"/>
          </w:tcPr>
          <w:p>
            <w:pPr>
              <w:spacing w:after="0" w:line="129" w:lineRule="exact"/>
              <w:rPr>
                <w:rFonts w:ascii="Times New Roman" w:cs="Times New Roman" w:eastAsia="Times New Roman" w:hAnsi="Times New Roman"/>
                <w:sz w:val="14"/>
                <w:szCs w:val="14"/>
                <w:color w:val="0000FF"/>
              </w:rPr>
            </w:pPr>
            <w:hyperlink r:id="rId229">
              <w:r>
                <w:rPr>
                  <w:rFonts w:ascii="Times New Roman" w:cs="Times New Roman" w:eastAsia="Times New Roman" w:hAnsi="Times New Roman"/>
                  <w:sz w:val="14"/>
                  <w:szCs w:val="14"/>
                  <w:color w:val="0000FF"/>
                </w:rPr>
                <w:t>Registration Statement on Form S-1, as filed with the SEC on December 18, 2020)</w:t>
              </w:r>
            </w:hyperlink>
          </w:p>
        </w:tc>
        <w:tc>
          <w:tcPr>
            <w:tcW w:w="3780" w:type="dxa"/>
            <w:vAlign w:val="bottom"/>
            <w:tcBorders>
              <w:top w:val="single" w:sz="8" w:color="0000FF"/>
              <w:bottom w:val="single" w:sz="8" w:color="CCEEFF"/>
            </w:tcBorders>
            <w:gridSpan w:val="27"/>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10.6.10#</w:t>
            </w:r>
          </w:p>
        </w:tc>
        <w:tc>
          <w:tcPr>
            <w:tcW w:w="9020" w:type="dxa"/>
            <w:vAlign w:val="bottom"/>
            <w:gridSpan w:val="39"/>
          </w:tcPr>
          <w:p>
            <w:pPr>
              <w:spacing w:after="0" w:line="149" w:lineRule="exact"/>
              <w:rPr>
                <w:sz w:val="20"/>
                <w:szCs w:val="20"/>
                <w:color w:val="auto"/>
              </w:rPr>
            </w:pPr>
            <w:r>
              <w:rPr>
                <w:rFonts w:ascii="Times New Roman" w:cs="Times New Roman" w:eastAsia="Times New Roman" w:hAnsi="Times New Roman"/>
                <w:sz w:val="14"/>
                <w:szCs w:val="14"/>
                <w:color w:val="0000FF"/>
              </w:rPr>
              <w:t>Form of Performance Stock Unit Agreement under 2020 Incentive Award Plan (U.S.)</w:t>
            </w:r>
          </w:p>
        </w:tc>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10.6.11#</w:t>
            </w:r>
          </w:p>
        </w:tc>
        <w:tc>
          <w:tcPr>
            <w:tcW w:w="5000" w:type="dxa"/>
            <w:vAlign w:val="bottom"/>
            <w:tcBorders>
              <w:bottom w:val="single" w:sz="8" w:color="0000FF"/>
            </w:tcBorders>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Form of Performance Stock Unit Agreement under 2020 Incentive Award Plan (Israel)</w:t>
            </w:r>
          </w:p>
        </w:tc>
        <w:tc>
          <w:tcPr>
            <w:tcW w:w="4020" w:type="dxa"/>
            <w:vAlign w:val="bottom"/>
            <w:tcBorders>
              <w:bottom w:val="single" w:sz="8" w:color="CCEEFF"/>
            </w:tcBorders>
            <w:gridSpan w:val="31"/>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10.7#</w:t>
            </w: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Employment Agreement, dated as of December 20, 2011, by and between Playtika Ltd. and Robert Antokol (incorporated herein by reference to</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60" w:type="dxa"/>
            <w:vAlign w:val="bottom"/>
            <w:vMerge w:val="continue"/>
          </w:tcPr>
          <w:p>
            <w:pPr>
              <w:spacing w:after="0"/>
              <w:rPr>
                <w:sz w:val="11"/>
                <w:szCs w:val="11"/>
                <w:color w:val="auto"/>
              </w:rPr>
            </w:pPr>
          </w:p>
        </w:tc>
        <w:tc>
          <w:tcPr>
            <w:tcW w:w="832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230">
              <w:r>
                <w:rPr>
                  <w:rFonts w:ascii="Times New Roman" w:cs="Times New Roman" w:eastAsia="Times New Roman" w:hAnsi="Times New Roman"/>
                  <w:sz w:val="14"/>
                  <w:szCs w:val="14"/>
                  <w:color w:val="0000FF"/>
                </w:rPr>
                <w:t>Exhibit 10.27 to the Company’s Registration Statement on Form S-1, as filed with the SEC on December 18, 2020)</w:t>
              </w:r>
            </w:hyperlink>
          </w:p>
        </w:tc>
        <w:tc>
          <w:tcPr>
            <w:tcW w:w="6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10.7.1#</w:t>
            </w:r>
          </w:p>
        </w:tc>
        <w:tc>
          <w:tcPr>
            <w:tcW w:w="9020" w:type="dxa"/>
            <w:vAlign w:val="bottom"/>
            <w:gridSpan w:val="39"/>
            <w:shd w:val="clear" w:color="auto" w:fill="CCEEFF"/>
          </w:tcPr>
          <w:p>
            <w:pPr>
              <w:spacing w:after="0" w:line="149" w:lineRule="exact"/>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Amendment to Employment Agreement, dated as of December 12, 2022, by and between Playtika Ltd. and Robert Antokol (incorporated herein by</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7020" w:type="dxa"/>
            <w:vAlign w:val="bottom"/>
            <w:tcBorders>
              <w:top w:val="single" w:sz="8" w:color="0000FF"/>
              <w:bottom w:val="single" w:sz="8" w:color="0000FF"/>
            </w:tcBorders>
            <w:gridSpan w:val="20"/>
            <w:shd w:val="clear" w:color="auto" w:fill="CCEEFF"/>
          </w:tcPr>
          <w:p>
            <w:pPr>
              <w:spacing w:after="0" w:line="129" w:lineRule="exact"/>
              <w:rPr>
                <w:rFonts w:ascii="Times New Roman" w:cs="Times New Roman" w:eastAsia="Times New Roman" w:hAnsi="Times New Roman"/>
                <w:sz w:val="14"/>
                <w:szCs w:val="14"/>
                <w:color w:val="0000FF"/>
              </w:rPr>
            </w:pPr>
            <w:hyperlink r:id="rId231">
              <w:r>
                <w:rPr>
                  <w:rFonts w:ascii="Times New Roman" w:cs="Times New Roman" w:eastAsia="Times New Roman" w:hAnsi="Times New Roman"/>
                  <w:sz w:val="14"/>
                  <w:szCs w:val="14"/>
                  <w:color w:val="0000FF"/>
                </w:rPr>
                <w:t>reference to Exhibit 10.21.1 to the Company's Annual Report on Form 10-K, as filed with the SEC on February 28, 2023)</w:t>
              </w:r>
            </w:hyperlink>
          </w:p>
        </w:tc>
        <w:tc>
          <w:tcPr>
            <w:tcW w:w="148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10.7.2#</w:t>
            </w: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Amendment to Employment Agreement, dated as of April 22, 2025, by and between Playtika Ltd. and Robert Antokol (incorporated herein by</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22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232">
              <w:r>
                <w:rPr>
                  <w:rFonts w:ascii="Times New Roman" w:cs="Times New Roman" w:eastAsia="Times New Roman" w:hAnsi="Times New Roman"/>
                  <w:sz w:val="14"/>
                  <w:szCs w:val="14"/>
                  <w:color w:val="0000FF"/>
                </w:rPr>
                <w:t>reference to Exhibit 10.1 to the Company's Quarterly Report on Form 10-Q, as filed with the SEC on May 8, 2025)</w:t>
              </w:r>
            </w:hyperlink>
          </w:p>
        </w:tc>
        <w:tc>
          <w:tcPr>
            <w:tcW w:w="160" w:type="dxa"/>
            <w:vAlign w:val="bottom"/>
            <w:gridSpan w:val="4"/>
          </w:tcPr>
          <w:p>
            <w:pPr>
              <w:spacing w:after="0"/>
              <w:rPr>
                <w:sz w:val="11"/>
                <w:szCs w:val="11"/>
                <w:color w:val="auto"/>
              </w:rPr>
            </w:pPr>
          </w:p>
        </w:tc>
        <w:tc>
          <w:tcPr>
            <w:tcW w:w="220" w:type="dxa"/>
            <w:vAlign w:val="bottom"/>
            <w:gridSpan w:val="7"/>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10.8#</w:t>
            </w:r>
          </w:p>
        </w:tc>
        <w:tc>
          <w:tcPr>
            <w:tcW w:w="9020" w:type="dxa"/>
            <w:vAlign w:val="bottom"/>
            <w:gridSpan w:val="39"/>
            <w:shd w:val="clear" w:color="auto" w:fill="CCEEFF"/>
          </w:tcPr>
          <w:p>
            <w:pPr>
              <w:spacing w:after="0" w:line="149"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Employment Agreement, dated as of March 15, 2017, by and between Playtika Ltd. and Nir Korczak (incorporated herein by reference to Exhibit</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6180" w:type="dxa"/>
            <w:vAlign w:val="bottom"/>
            <w:tcBorders>
              <w:top w:val="single" w:sz="8" w:color="0000FF"/>
              <w:bottom w:val="single" w:sz="8" w:color="0000FF"/>
            </w:tcBorders>
            <w:gridSpan w:val="18"/>
            <w:shd w:val="clear" w:color="auto" w:fill="CCEEFF"/>
          </w:tcPr>
          <w:p>
            <w:pPr>
              <w:spacing w:after="0" w:line="129" w:lineRule="exact"/>
              <w:rPr>
                <w:rFonts w:ascii="Times New Roman" w:cs="Times New Roman" w:eastAsia="Times New Roman" w:hAnsi="Times New Roman"/>
                <w:sz w:val="14"/>
                <w:szCs w:val="14"/>
                <w:color w:val="0000FF"/>
              </w:rPr>
            </w:pPr>
            <w:hyperlink r:id="rId23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29</w:t>
              </w:r>
              <w:r>
                <w:rPr>
                  <w:rFonts w:ascii="Times New Roman" w:cs="Times New Roman" w:eastAsia="Times New Roman" w:hAnsi="Times New Roman"/>
                  <w:sz w:val="14"/>
                  <w:szCs w:val="14"/>
                  <w:color w:val="0000FF"/>
                </w:rPr>
                <w:t xml:space="preserve"> to the Company's Registration Statement on Form S-1, as filed with the SEC on December 18, 2020)</w:t>
              </w:r>
            </w:hyperlink>
          </w:p>
        </w:tc>
        <w:tc>
          <w:tcPr>
            <w:tcW w:w="220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22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10.9#</w:t>
            </w: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Employment Agreement, dated as of November 30, 2022, by and between Playtika Ltd. and Gili Brudno (incorporated herein by reference to Exhibit</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600" w:type="dxa"/>
            <w:vAlign w:val="bottom"/>
            <w:tcBorders>
              <w:top w:val="single" w:sz="8" w:color="0000FF"/>
            </w:tcBorders>
            <w:gridSpan w:val="34"/>
          </w:tcPr>
          <w:p>
            <w:pPr>
              <w:spacing w:after="0" w:line="129" w:lineRule="exact"/>
              <w:rPr>
                <w:rFonts w:ascii="Times New Roman" w:cs="Times New Roman" w:eastAsia="Times New Roman" w:hAnsi="Times New Roman"/>
                <w:sz w:val="14"/>
                <w:szCs w:val="14"/>
                <w:color w:val="0000FF"/>
              </w:rPr>
            </w:pPr>
            <w:hyperlink r:id="rId23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the Company’s Quarterly Report on Form 10-Q, as filed with the SEC on May 4, 2023)</w:t>
              </w:r>
            </w:hyperlink>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10.10#</w:t>
            </w:r>
          </w:p>
        </w:tc>
        <w:tc>
          <w:tcPr>
            <w:tcW w:w="9020" w:type="dxa"/>
            <w:vAlign w:val="bottom"/>
            <w:gridSpan w:val="39"/>
            <w:shd w:val="clear" w:color="auto" w:fill="CCEEFF"/>
          </w:tcPr>
          <w:p>
            <w:pPr>
              <w:spacing w:after="0" w:line="149"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Employment Agreement, dated as of June 4, 2024, by and between Playtika Ltd. and Uri Rubin (incorporated herein by reference to Exhibit 10.1 to</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5180" w:type="dxa"/>
            <w:vAlign w:val="bottom"/>
            <w:tcBorders>
              <w:top w:val="single" w:sz="8" w:color="0000FF"/>
              <w:bottom w:val="single" w:sz="8" w:color="0000FF"/>
            </w:tcBorders>
            <w:gridSpan w:val="10"/>
            <w:shd w:val="clear" w:color="auto" w:fill="CCEEFF"/>
          </w:tcPr>
          <w:p>
            <w:pPr>
              <w:spacing w:after="0" w:line="129" w:lineRule="exact"/>
              <w:rPr>
                <w:rFonts w:ascii="Times New Roman" w:cs="Times New Roman" w:eastAsia="Times New Roman" w:hAnsi="Times New Roman"/>
                <w:sz w:val="14"/>
                <w:szCs w:val="14"/>
                <w:color w:val="0000FF"/>
              </w:rPr>
            </w:pPr>
            <w:hyperlink r:id="rId235">
              <w:r>
                <w:rPr>
                  <w:rFonts w:ascii="Times New Roman" w:cs="Times New Roman" w:eastAsia="Times New Roman" w:hAnsi="Times New Roman"/>
                  <w:sz w:val="14"/>
                  <w:szCs w:val="14"/>
                  <w:color w:val="0000FF"/>
                </w:rPr>
                <w:t>the Company's Quarterly Report on Form 10-Q, as filed with the SEC on August 7, 2024)</w:t>
              </w:r>
            </w:hyperlink>
          </w:p>
        </w:tc>
        <w:tc>
          <w:tcPr>
            <w:tcW w:w="3320" w:type="dxa"/>
            <w:vAlign w:val="bottom"/>
            <w:tcBorders>
              <w:top w:val="single" w:sz="8" w:color="0000FF"/>
              <w:bottom w:val="single" w:sz="8" w:color="CCEEFF"/>
            </w:tcBorders>
            <w:gridSpan w:val="19"/>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10.11#</w:t>
            </w: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Employment Agreement, dated as of June 9, 2024, by and between Playtika Ltd. and Ariel Sandler (incorporated herein by reference to Exhibit 10.2 to</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700" w:type="dxa"/>
            <w:vAlign w:val="bottom"/>
            <w:tcBorders>
              <w:top w:val="single" w:sz="8" w:color="0000FF"/>
            </w:tcBorders>
            <w:gridSpan w:val="37"/>
          </w:tcPr>
          <w:p>
            <w:pPr>
              <w:spacing w:after="0" w:line="129" w:lineRule="exact"/>
              <w:rPr>
                <w:rFonts w:ascii="Times New Roman" w:cs="Times New Roman" w:eastAsia="Times New Roman" w:hAnsi="Times New Roman"/>
                <w:sz w:val="14"/>
                <w:szCs w:val="14"/>
                <w:color w:val="0000FF"/>
              </w:rPr>
            </w:pPr>
            <w:hyperlink r:id="rId236">
              <w:r>
                <w:rPr>
                  <w:rFonts w:ascii="Times New Roman" w:cs="Times New Roman" w:eastAsia="Times New Roman" w:hAnsi="Times New Roman"/>
                  <w:sz w:val="14"/>
                  <w:szCs w:val="14"/>
                  <w:color w:val="0000FF"/>
                </w:rPr>
                <w:t>the Company's Quarterly Report on Form 10-Q, as filed with the SEC on August 7, 2024)</w:t>
              </w:r>
            </w:hyperlink>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10.11.1#</w:t>
            </w:r>
          </w:p>
        </w:tc>
        <w:tc>
          <w:tcPr>
            <w:tcW w:w="9020" w:type="dxa"/>
            <w:vAlign w:val="bottom"/>
            <w:gridSpan w:val="39"/>
            <w:shd w:val="clear" w:color="auto" w:fill="CCEEFF"/>
          </w:tcPr>
          <w:p>
            <w:pPr>
              <w:spacing w:after="0" w:line="149"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Amendment to Employment Agreement, dated as of April 22, 2025, by and between Playtika Ltd. and Ariel Sandler (incorporated herein by reference</w:t>
              </w:r>
            </w:hyperlink>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tcBorders>
              <w:top w:val="single" w:sz="8" w:color="CCEEFF"/>
            </w:tcBorders>
            <w:vMerge w:val="continue"/>
            <w:shd w:val="clear" w:color="auto" w:fill="CCEEFF"/>
          </w:tcPr>
          <w:p>
            <w:pPr>
              <w:spacing w:after="0"/>
              <w:rPr>
                <w:sz w:val="11"/>
                <w:szCs w:val="11"/>
                <w:color w:val="auto"/>
              </w:rPr>
            </w:pPr>
          </w:p>
        </w:tc>
        <w:tc>
          <w:tcPr>
            <w:tcW w:w="8660" w:type="dxa"/>
            <w:vAlign w:val="bottom"/>
            <w:tcBorders>
              <w:top w:val="single" w:sz="8" w:color="0000FF"/>
            </w:tcBorders>
            <w:gridSpan w:val="36"/>
            <w:shd w:val="clear" w:color="auto" w:fill="CCEEFF"/>
          </w:tcPr>
          <w:p>
            <w:pPr>
              <w:spacing w:after="0" w:line="129" w:lineRule="exact"/>
              <w:rPr>
                <w:rFonts w:ascii="Times New Roman" w:cs="Times New Roman" w:eastAsia="Times New Roman" w:hAnsi="Times New Roman"/>
                <w:sz w:val="14"/>
                <w:szCs w:val="14"/>
                <w:color w:val="0000FF"/>
              </w:rPr>
            </w:pPr>
            <w:hyperlink r:id="rId237">
              <w:r>
                <w:rPr>
                  <w:rFonts w:ascii="Times New Roman" w:cs="Times New Roman" w:eastAsia="Times New Roman" w:hAnsi="Times New Roman"/>
                  <w:sz w:val="14"/>
                  <w:szCs w:val="14"/>
                  <w:color w:val="0000FF"/>
                </w:rPr>
                <w:t>to Exhibit 10.2 to the Company's Quarterly Report on Form 10-Q, as filed with the SEC on May 8, 2025)</w:t>
              </w:r>
            </w:hyperlink>
          </w:p>
        </w:tc>
        <w:tc>
          <w:tcPr>
            <w:tcW w:w="60" w:type="dxa"/>
            <w:vAlign w:val="bottom"/>
            <w:tcBorders>
              <w:top w:val="single" w:sz="8" w:color="CCEEFF"/>
            </w:tcBorders>
            <w:gridSpan w:val="2"/>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8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19.1</w:t>
            </w:r>
          </w:p>
        </w:tc>
        <w:tc>
          <w:tcPr>
            <w:tcW w:w="9020" w:type="dxa"/>
            <w:vAlign w:val="bottom"/>
            <w:gridSpan w:val="39"/>
          </w:tcPr>
          <w:p>
            <w:pPr>
              <w:spacing w:after="0" w:line="14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Playtika Holding Corp. Insider Trading Compliance Policy (incorporated herein by reference to Exhibit 19.1 to the Company's Annual Report on Form</w:t>
              </w:r>
            </w:hyperlink>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8720" w:type="dxa"/>
            <w:vAlign w:val="bottom"/>
            <w:tcBorders>
              <w:top w:val="single" w:sz="8" w:color="0000FF"/>
            </w:tcBorders>
            <w:gridSpan w:val="38"/>
          </w:tcPr>
          <w:p>
            <w:pPr>
              <w:spacing w:after="0" w:line="129" w:lineRule="exact"/>
              <w:rPr>
                <w:rFonts w:ascii="Times New Roman" w:cs="Times New Roman" w:eastAsia="Times New Roman" w:hAnsi="Times New Roman"/>
                <w:sz w:val="14"/>
                <w:szCs w:val="14"/>
                <w:color w:val="0000FF"/>
              </w:rPr>
            </w:pPr>
            <w:hyperlink r:id="rId238">
              <w:r>
                <w:rPr>
                  <w:rFonts w:ascii="Times New Roman" w:cs="Times New Roman" w:eastAsia="Times New Roman" w:hAnsi="Times New Roman"/>
                  <w:sz w:val="14"/>
                  <w:szCs w:val="14"/>
                  <w:color w:val="0000FF"/>
                </w:rPr>
                <w:t>10-K, as filed with the SEC on February 27, 2025)</w:t>
              </w:r>
            </w:hyperlink>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9020" w:type="dxa"/>
            <w:vAlign w:val="bottom"/>
            <w:gridSpan w:val="39"/>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List of Significant Subsidiaries of the Registrant</w:t>
            </w:r>
          </w:p>
        </w:tc>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460" w:type="dxa"/>
            <w:vAlign w:val="bottom"/>
          </w:tcPr>
          <w:p>
            <w:pPr>
              <w:spacing w:after="0"/>
              <w:rPr>
                <w:sz w:val="12"/>
                <w:szCs w:val="12"/>
                <w:color w:val="auto"/>
              </w:rPr>
            </w:pPr>
          </w:p>
        </w:tc>
        <w:tc>
          <w:tcPr>
            <w:tcW w:w="51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3460" w:type="dxa"/>
            <w:vAlign w:val="bottom"/>
          </w:tcPr>
          <w:p>
            <w:pPr>
              <w:spacing w:after="0"/>
              <w:rPr>
                <w:sz w:val="16"/>
                <w:szCs w:val="16"/>
                <w:color w:val="auto"/>
              </w:rPr>
            </w:pPr>
          </w:p>
        </w:tc>
        <w:tc>
          <w:tcPr>
            <w:tcW w:w="5120" w:type="dxa"/>
            <w:vAlign w:val="bottom"/>
            <w:gridSpan w:val="5"/>
            <w:vMerge w:val="continue"/>
          </w:tcPr>
          <w:p>
            <w:pPr>
              <w:spacing w:after="0"/>
              <w:rPr>
                <w:sz w:val="16"/>
                <w:szCs w:val="16"/>
                <w:color w:val="auto"/>
              </w:rPr>
            </w:pP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23.1</w:t>
            </w:r>
          </w:p>
        </w:tc>
        <w:tc>
          <w:tcPr>
            <w:tcW w:w="85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460" w:type="dxa"/>
            <w:vAlign w:val="bottom"/>
            <w:tcBorders>
              <w:top w:val="single" w:sz="8" w:color="0000FF"/>
            </w:tcBorders>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858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1400" w:type="dxa"/>
            <w:vAlign w:val="bottom"/>
            <w:shd w:val="clear" w:color="auto" w:fill="CCEEFF"/>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5740" w:type="dxa"/>
            <w:vAlign w:val="bottom"/>
            <w:tcBorders>
              <w:top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2840" w:type="dxa"/>
            <w:vAlign w:val="bottom"/>
            <w:tcBorders>
              <w:top w:val="single" w:sz="8" w:color="CCEEFF"/>
            </w:tcBorders>
            <w:gridSpan w:val="2"/>
          </w:tcPr>
          <w:p>
            <w:pPr>
              <w:spacing w:after="0"/>
              <w:rPr>
                <w:sz w:val="12"/>
                <w:szCs w:val="12"/>
                <w:color w:val="auto"/>
              </w:rPr>
            </w:pPr>
          </w:p>
        </w:tc>
        <w:tc>
          <w:tcPr>
            <w:tcW w:w="1400" w:type="dxa"/>
            <w:vAlign w:val="bottom"/>
            <w:tcBorders>
              <w:top w:val="single" w:sz="8" w:color="CCEEFF"/>
            </w:tcBorders>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46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858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1400" w:type="dxa"/>
            <w:vAlign w:val="bottom"/>
            <w:shd w:val="clear" w:color="auto" w:fill="CCEEFF"/>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48"/>
        </w:trPr>
        <w:tc>
          <w:tcPr>
            <w:tcW w:w="1260" w:type="dxa"/>
            <w:vAlign w:val="bottom"/>
            <w:tcBorders>
              <w:top w:val="single" w:sz="8" w:color="CCEEFF"/>
            </w:tcBorders>
          </w:tcPr>
          <w:p>
            <w:pPr>
              <w:ind w:left="180"/>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5740" w:type="dxa"/>
            <w:vAlign w:val="bottom"/>
            <w:tcBorders>
              <w:top w:val="single" w:sz="8" w:color="0000FF"/>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2840" w:type="dxa"/>
            <w:vAlign w:val="bottom"/>
            <w:tcBorders>
              <w:top w:val="single" w:sz="8" w:color="CCEEFF"/>
            </w:tcBorders>
            <w:gridSpan w:val="2"/>
          </w:tcPr>
          <w:p>
            <w:pPr>
              <w:spacing w:after="0"/>
              <w:rPr>
                <w:sz w:val="12"/>
                <w:szCs w:val="12"/>
                <w:color w:val="auto"/>
              </w:rPr>
            </w:pPr>
          </w:p>
        </w:tc>
        <w:tc>
          <w:tcPr>
            <w:tcW w:w="1400" w:type="dxa"/>
            <w:vAlign w:val="bottom"/>
            <w:tcBorders>
              <w:top w:val="single" w:sz="8" w:color="CCEEFF"/>
            </w:tcBorders>
          </w:tcPr>
          <w:p>
            <w:pPr>
              <w:jc w:val="center"/>
              <w:ind w:left="168"/>
              <w:spacing w:after="0" w:line="14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346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2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97.1</w:t>
            </w:r>
          </w:p>
        </w:tc>
        <w:tc>
          <w:tcPr>
            <w:tcW w:w="8580" w:type="dxa"/>
            <w:vAlign w:val="bottom"/>
            <w:gridSpan w:val="6"/>
            <w:shd w:val="clear" w:color="auto" w:fill="CCEEFF"/>
          </w:tcPr>
          <w:p>
            <w:pPr>
              <w:spacing w:after="0" w:line="14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Playtika Holding Corp. Policy for Recovery of Erroneously Awarded Compensation (incorporated herein by reference to Exhibit 97.1 to the</w:t>
              </w:r>
            </w:hyperlink>
          </w:p>
        </w:tc>
        <w:tc>
          <w:tcPr>
            <w:tcW w:w="1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bottom w:val="single" w:sz="8" w:color="CCEEFF"/>
            </w:tcBorders>
            <w:vMerge w:val="continue"/>
            <w:shd w:val="clear" w:color="auto" w:fill="CCEEFF"/>
          </w:tcPr>
          <w:p>
            <w:pPr>
              <w:spacing w:after="0"/>
              <w:rPr>
                <w:sz w:val="12"/>
                <w:szCs w:val="12"/>
                <w:color w:val="auto"/>
              </w:rPr>
            </w:pPr>
          </w:p>
        </w:tc>
        <w:tc>
          <w:tcPr>
            <w:tcW w:w="5020" w:type="dxa"/>
            <w:vAlign w:val="bottom"/>
            <w:tcBorders>
              <w:top w:val="single" w:sz="8" w:color="0000FF"/>
              <w:bottom w:val="single" w:sz="8" w:color="0000FF"/>
            </w:tcBorders>
            <w:gridSpan w:val="2"/>
            <w:shd w:val="clear" w:color="auto" w:fill="CCEEFF"/>
          </w:tcPr>
          <w:p>
            <w:pPr>
              <w:spacing w:after="0" w:line="129" w:lineRule="exact"/>
              <w:rPr>
                <w:rFonts w:ascii="Times New Roman" w:cs="Times New Roman" w:eastAsia="Times New Roman" w:hAnsi="Times New Roman"/>
                <w:sz w:val="14"/>
                <w:szCs w:val="14"/>
                <w:color w:val="0000FF"/>
              </w:rPr>
            </w:pPr>
            <w:hyperlink r:id="rId240">
              <w:r>
                <w:rPr>
                  <w:rFonts w:ascii="Times New Roman" w:cs="Times New Roman" w:eastAsia="Times New Roman" w:hAnsi="Times New Roman"/>
                  <w:sz w:val="14"/>
                  <w:szCs w:val="14"/>
                  <w:color w:val="0000FF"/>
                </w:rPr>
                <w:t>Company's Annual Report on Form 10-K, as filed with the SEC on February 26, 2024)</w:t>
              </w:r>
            </w:hyperlink>
          </w:p>
        </w:tc>
        <w:tc>
          <w:tcPr>
            <w:tcW w:w="304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14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101.INS</w:t>
            </w:r>
          </w:p>
        </w:tc>
        <w:tc>
          <w:tcPr>
            <w:tcW w:w="8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Inline Instance Document</w:t>
            </w: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101.SCH</w:t>
            </w:r>
          </w:p>
        </w:tc>
        <w:tc>
          <w:tcPr>
            <w:tcW w:w="8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Inline Taxonomy Extension Schema Document</w:t>
            </w:r>
          </w:p>
        </w:tc>
        <w:tc>
          <w:tcPr>
            <w:tcW w:w="140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101.CAL</w:t>
            </w:r>
          </w:p>
        </w:tc>
        <w:tc>
          <w:tcPr>
            <w:tcW w:w="8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Inline Taxonomy Extension Calculation Linkbase Document</w:t>
            </w: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101.DEF</w:t>
            </w:r>
          </w:p>
        </w:tc>
        <w:tc>
          <w:tcPr>
            <w:tcW w:w="8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Inline Taxonomy Extension Calculation Definition Document</w:t>
            </w:r>
          </w:p>
        </w:tc>
        <w:tc>
          <w:tcPr>
            <w:tcW w:w="140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95"/>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101.LAB</w:t>
            </w:r>
          </w:p>
        </w:tc>
        <w:tc>
          <w:tcPr>
            <w:tcW w:w="8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XBRL Inline Taxonomy Extension Label Linkbase Document</w:t>
            </w: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101.PRE</w:t>
            </w:r>
          </w:p>
        </w:tc>
        <w:tc>
          <w:tcPr>
            <w:tcW w:w="85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XBRL Inline Taxonomy Extension Presentation Linkbase Document</w:t>
            </w:r>
          </w:p>
        </w:tc>
        <w:tc>
          <w:tcPr>
            <w:tcW w:w="140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8"/>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104</w:t>
            </w:r>
          </w:p>
        </w:tc>
        <w:tc>
          <w:tcPr>
            <w:tcW w:w="85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Indicates management contract or compensatory plan.</w:t>
      </w:r>
    </w:p>
    <w:p>
      <w:pPr>
        <w:spacing w:after="0" w:line="200" w:lineRule="exact"/>
        <w:rPr>
          <w:sz w:val="20"/>
          <w:szCs w:val="20"/>
          <w:color w:val="auto"/>
        </w:rPr>
      </w:pPr>
    </w:p>
    <w:p>
      <w:pPr>
        <w:spacing w:after="0" w:line="28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PLAYTIKA HOLDING CORP.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Robert Antokol</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Chairperson of the Board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as of 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46" w:name="page147"/>
    <w:bookmarkEnd w:id="146"/>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26,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0"/>
                <w:szCs w:val="20"/>
                <w:color w:val="auto"/>
              </w:rPr>
            </w:pP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23"/>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Antokol</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Antokol</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Chairperson of the Board of Directors</w:t>
            </w:r>
          </w:p>
        </w:tc>
      </w:tr>
      <w:tr>
        <w:trPr>
          <w:trHeight w:val="54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Craig Abrahams</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Craig Abrahams</w:t>
            </w:r>
          </w:p>
        </w:tc>
        <w:tc>
          <w:tcPr>
            <w:tcW w:w="1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54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Erez Hershkovitz</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Erez Hershkovitz</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54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Beilinson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 Beilinson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54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Bing Yuan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Bing Yuan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54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Tian Lin</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Tian Lin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54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Dana Gross</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Dana Gross</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r>
        <w:trPr>
          <w:trHeight w:val="549"/>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Hong Du</w:t>
            </w:r>
          </w:p>
        </w:tc>
        <w:tc>
          <w:tcPr>
            <w:tcW w:w="12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Du</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1240"/>
          </w:cols>
          <w:pgMar w:left="320" w:top="1417"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4.8</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SECOND SUPPLEMENTAL INDENTURE</w:t>
      </w:r>
    </w:p>
    <w:p>
      <w:pPr>
        <w:spacing w:after="0" w:line="247" w:lineRule="exact"/>
        <w:rPr>
          <w:sz w:val="20"/>
          <w:szCs w:val="20"/>
          <w:color w:val="auto"/>
        </w:rPr>
      </w:pPr>
    </w:p>
    <w:p>
      <w:pPr>
        <w:jc w:val="both"/>
        <w:ind w:right="140" w:firstLine="647"/>
        <w:spacing w:after="0" w:line="252" w:lineRule="auto"/>
        <w:rPr>
          <w:sz w:val="20"/>
          <w:szCs w:val="20"/>
          <w:color w:val="auto"/>
        </w:rPr>
      </w:pPr>
      <w:r>
        <w:rPr>
          <w:rFonts w:ascii="Times New Roman" w:cs="Times New Roman" w:eastAsia="Times New Roman" w:hAnsi="Times New Roman"/>
          <w:sz w:val="22"/>
          <w:szCs w:val="22"/>
          <w:color w:val="auto"/>
        </w:rPr>
        <w:t>This Second Supplemental Indenture and Subsidiary Guarantee, dated as of January 21, 2025 (this “</w:t>
      </w:r>
      <w:r>
        <w:rPr>
          <w:rFonts w:ascii="Times New Roman" w:cs="Times New Roman" w:eastAsia="Times New Roman" w:hAnsi="Times New Roman"/>
          <w:sz w:val="22"/>
          <w:szCs w:val="22"/>
          <w:i w:val="1"/>
          <w:iCs w:val="1"/>
          <w:color w:val="auto"/>
        </w:rPr>
        <w:t>Supplemental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Indenture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Subsidiary Guarantee</w:t>
      </w:r>
      <w:r>
        <w:rPr>
          <w:rFonts w:ascii="Times New Roman" w:cs="Times New Roman" w:eastAsia="Times New Roman" w:hAnsi="Times New Roman"/>
          <w:sz w:val="22"/>
          <w:szCs w:val="22"/>
          <w:color w:val="auto"/>
        </w:rPr>
        <w:t>”), among G.S Innplay Labs Ltd, ScreenShake Ltd, Simple Play Ltd and SuperPlay Ltd,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a limited company incorporated under the laws of Israel (the “</w:t>
      </w:r>
      <w:r>
        <w:rPr>
          <w:rFonts w:ascii="Times New Roman" w:cs="Times New Roman" w:eastAsia="Times New Roman" w:hAnsi="Times New Roman"/>
          <w:sz w:val="22"/>
          <w:szCs w:val="22"/>
          <w:i w:val="1"/>
          <w:iCs w:val="1"/>
          <w:color w:val="auto"/>
        </w:rPr>
        <w:t>New Israeli Guarantors</w:t>
      </w:r>
      <w:r>
        <w:rPr>
          <w:rFonts w:ascii="Times New Roman" w:cs="Times New Roman" w:eastAsia="Times New Roman" w:hAnsi="Times New Roman"/>
          <w:sz w:val="22"/>
          <w:szCs w:val="22"/>
          <w:color w:val="auto"/>
        </w:rPr>
        <w:t>”); SuperPlay Games LLC, a Delaware limited liability company (together with the New Israeli Guarantors, the “</w:t>
      </w:r>
      <w:r>
        <w:rPr>
          <w:rFonts w:ascii="Times New Roman" w:cs="Times New Roman" w:eastAsia="Times New Roman" w:hAnsi="Times New Roman"/>
          <w:sz w:val="22"/>
          <w:szCs w:val="22"/>
          <w:i w:val="1"/>
          <w:iCs w:val="1"/>
          <w:color w:val="auto"/>
        </w:rPr>
        <w:t>New Guarantors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i w:val="1"/>
          <w:iCs w:val="1"/>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Playtika Holding Corp. (together with its successors and assigns,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and Wilmington Trust,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National Association, as Trustee (in such capacity, the “</w:t>
      </w:r>
      <w:r>
        <w:rPr>
          <w:rFonts w:ascii="Times New Roman" w:cs="Times New Roman" w:eastAsia="Times New Roman" w:hAnsi="Times New Roman"/>
          <w:sz w:val="22"/>
          <w:szCs w:val="22"/>
          <w:i w:val="1"/>
          <w:iCs w:val="1"/>
          <w:color w:val="auto"/>
        </w:rPr>
        <w:t>Trustee</w:t>
      </w:r>
      <w:r>
        <w:rPr>
          <w:rFonts w:ascii="Times New Roman" w:cs="Times New Roman" w:eastAsia="Times New Roman" w:hAnsi="Times New Roman"/>
          <w:sz w:val="22"/>
          <w:szCs w:val="22"/>
          <w:color w:val="auto"/>
        </w:rPr>
        <w:t>”), paying agent and registrar under such Indenture.</w:t>
      </w:r>
    </w:p>
    <w:p>
      <w:pPr>
        <w:spacing w:after="0" w:line="2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60" w:lineRule="exact"/>
        <w:rPr>
          <w:sz w:val="20"/>
          <w:szCs w:val="20"/>
          <w:color w:val="auto"/>
        </w:rPr>
      </w:pPr>
    </w:p>
    <w:p>
      <w:pPr>
        <w:jc w:val="both"/>
        <w:ind w:right="140" w:firstLine="647"/>
        <w:spacing w:after="0" w:line="275" w:lineRule="auto"/>
        <w:rPr>
          <w:sz w:val="20"/>
          <w:szCs w:val="20"/>
          <w:color w:val="auto"/>
        </w:rPr>
      </w:pPr>
      <w:r>
        <w:rPr>
          <w:rFonts w:ascii="Times New Roman" w:cs="Times New Roman" w:eastAsia="Times New Roman" w:hAnsi="Times New Roman"/>
          <w:sz w:val="21"/>
          <w:szCs w:val="21"/>
          <w:color w:val="auto"/>
        </w:rPr>
        <w:t>WHEREAS, the Company, the Subsidiary Guarantors and the Trustee have heretofore executed and delivered an Indenture, dated as of March 11, 2021 (as amended, supplemented, waived or otherwise modified, the “</w:t>
      </w:r>
      <w:r>
        <w:rPr>
          <w:rFonts w:ascii="Times New Roman" w:cs="Times New Roman" w:eastAsia="Times New Roman" w:hAnsi="Times New Roman"/>
          <w:sz w:val="21"/>
          <w:szCs w:val="21"/>
          <w:i w:val="1"/>
          <w:iCs w:val="1"/>
          <w:color w:val="auto"/>
        </w:rPr>
        <w:t>Indenture</w:t>
      </w:r>
      <w:r>
        <w:rPr>
          <w:rFonts w:ascii="Times New Roman" w:cs="Times New Roman" w:eastAsia="Times New Roman" w:hAnsi="Times New Roman"/>
          <w:sz w:val="21"/>
          <w:szCs w:val="21"/>
          <w:color w:val="auto"/>
        </w:rPr>
        <w:t>”), providing for the issuance of an unlimited aggregate principal amount of 4.250% Senior Notes due 2029 of the Company (the “</w:t>
      </w:r>
      <w:r>
        <w:rPr>
          <w:rFonts w:ascii="Times New Roman" w:cs="Times New Roman" w:eastAsia="Times New Roman" w:hAnsi="Times New Roman"/>
          <w:sz w:val="21"/>
          <w:szCs w:val="21"/>
          <w:i w:val="1"/>
          <w:iCs w:val="1"/>
          <w:color w:val="auto"/>
        </w:rPr>
        <w:t>Notes</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right="140" w:firstLine="647"/>
        <w:spacing w:after="0" w:line="263" w:lineRule="auto"/>
        <w:rPr>
          <w:sz w:val="20"/>
          <w:szCs w:val="20"/>
          <w:color w:val="auto"/>
        </w:rPr>
      </w:pPr>
      <w:r>
        <w:rPr>
          <w:rFonts w:ascii="Times New Roman" w:cs="Times New Roman" w:eastAsia="Times New Roman" w:hAnsi="Times New Roman"/>
          <w:sz w:val="22"/>
          <w:szCs w:val="22"/>
          <w:color w:val="auto"/>
        </w:rPr>
        <w:t>WHEREAS, Section 4.15 of the Indenture provides that in certain circumstances the Company may be required to cause certain Restricted Subsidiaries of the Company to execute and deliver a Guarantee with respect to the Notes on the same terms and conditions as those set forth in the Indenture.</w:t>
      </w:r>
    </w:p>
    <w:p>
      <w:pPr>
        <w:spacing w:after="0" w:line="208" w:lineRule="exact"/>
        <w:rPr>
          <w:sz w:val="20"/>
          <w:szCs w:val="20"/>
          <w:color w:val="auto"/>
        </w:rPr>
      </w:pPr>
    </w:p>
    <w:p>
      <w:pPr>
        <w:jc w:val="both"/>
        <w:ind w:right="140" w:firstLine="647"/>
        <w:spacing w:after="0" w:line="257" w:lineRule="auto"/>
        <w:rPr>
          <w:sz w:val="20"/>
          <w:szCs w:val="20"/>
          <w:color w:val="auto"/>
        </w:rPr>
      </w:pPr>
      <w:r>
        <w:rPr>
          <w:rFonts w:ascii="Times New Roman" w:cs="Times New Roman" w:eastAsia="Times New Roman" w:hAnsi="Times New Roman"/>
          <w:sz w:val="22"/>
          <w:szCs w:val="22"/>
          <w:color w:val="auto"/>
        </w:rPr>
        <w:t>WHEREAS, pursuant to Section 9.1 of the Indenture, the Trustee and the Company are authorized to execute and deliver this Supplemental Indenture to amend the Indenture, without the consent of any Holder to add an additional Subsidiary Guarantor.</w:t>
      </w:r>
    </w:p>
    <w:p>
      <w:pPr>
        <w:spacing w:after="0" w:line="213" w:lineRule="exact"/>
        <w:rPr>
          <w:sz w:val="20"/>
          <w:szCs w:val="20"/>
          <w:color w:val="auto"/>
        </w:rPr>
      </w:pPr>
    </w:p>
    <w:p>
      <w:pPr>
        <w:jc w:val="both"/>
        <w:ind w:right="140" w:firstLine="647"/>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each New Guarantor, the Company and the Trustee mutually covenant and agree for the equal and ratable benefit of the Holders as follows:</w:t>
      </w:r>
    </w:p>
    <w:p>
      <w:pPr>
        <w:spacing w:after="0" w:line="2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36" w:lineRule="exact"/>
        <w:rPr>
          <w:sz w:val="20"/>
          <w:szCs w:val="20"/>
          <w:color w:val="auto"/>
        </w:rPr>
      </w:pPr>
    </w:p>
    <w:p>
      <w:pPr>
        <w:jc w:val="both"/>
        <w:ind w:right="140" w:firstLine="647"/>
        <w:spacing w:after="0" w:line="25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28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u w:val="single" w:color="auto"/>
          <w:color w:val="auto"/>
        </w:rPr>
        <w:t>Agreement to be Bound; Guarantee</w:t>
      </w:r>
    </w:p>
    <w:p>
      <w:pPr>
        <w:spacing w:after="0" w:line="236" w:lineRule="exact"/>
        <w:rPr>
          <w:sz w:val="20"/>
          <w:szCs w:val="20"/>
          <w:color w:val="auto"/>
        </w:rPr>
      </w:pPr>
    </w:p>
    <w:p>
      <w:pPr>
        <w:jc w:val="both"/>
        <w:ind w:right="140" w:firstLine="647"/>
        <w:spacing w:after="0" w:line="271"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Agreement to be Bound</w:t>
      </w:r>
      <w:r>
        <w:rPr>
          <w:rFonts w:ascii="Times New Roman" w:cs="Times New Roman" w:eastAsia="Times New Roman" w:hAnsi="Times New Roman"/>
          <w:sz w:val="22"/>
          <w:szCs w:val="22"/>
          <w:color w:val="auto"/>
        </w:rPr>
        <w:t>. Each New Guarantor hereby becomes a party to the Indenture as a Subsidiary Guarantor and as such shall have all of the rights and be subject to</w:t>
      </w:r>
    </w:p>
    <w:p>
      <w:pPr>
        <w:sectPr>
          <w:pgSz w:w="11900" w:h="16838" w:orient="portrait"/>
          <w:cols w:equalWidth="0" w:num="1">
            <w:col w:w="11140"/>
          </w:cols>
          <w:pgMar w:left="420" w:top="842" w:right="339" w:bottom="1440" w:gutter="0" w:footer="0" w:header="0"/>
        </w:sectPr>
      </w:pPr>
    </w:p>
    <w:bookmarkStart w:id="148" w:name="page149"/>
    <w:bookmarkEnd w:id="148"/>
    <w:p>
      <w:pPr>
        <w:jc w:val="both"/>
        <w:spacing w:after="0" w:line="256" w:lineRule="auto"/>
        <w:rPr>
          <w:sz w:val="20"/>
          <w:szCs w:val="20"/>
          <w:color w:val="auto"/>
        </w:rPr>
      </w:pPr>
      <w:r>
        <w:rPr>
          <w:rFonts w:ascii="Times New Roman" w:cs="Times New Roman" w:eastAsia="Times New Roman" w:hAnsi="Times New Roman"/>
          <w:sz w:val="22"/>
          <w:szCs w:val="22"/>
          <w:color w:val="auto"/>
        </w:rPr>
        <w:t>all of the obligations and agreements of a Subsidiary Guarantor under the Indenture. Each New Guarantor agrees to be bound by all of the provisions of the Indenture applicable to a Subsidiary Guarantor and to perform all of the obligations and agreements of a Subsidiary Guarantor under the Indenture, subject to the release provisions and other limitations set forth in the Indenture.</w:t>
      </w:r>
    </w:p>
    <w:p>
      <w:pPr>
        <w:spacing w:after="0" w:line="2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36" w:lineRule="exact"/>
        <w:rPr>
          <w:sz w:val="20"/>
          <w:szCs w:val="20"/>
          <w:color w:val="auto"/>
        </w:rPr>
      </w:pPr>
    </w:p>
    <w:p>
      <w:pPr>
        <w:jc w:val="both"/>
        <w:ind w:right="20" w:firstLine="647"/>
        <w:spacing w:after="0" w:line="271"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Supplemental Indenture shall be governed by, and construed in accordance with, the laws of the State of New York.</w:t>
      </w:r>
    </w:p>
    <w:p>
      <w:pPr>
        <w:spacing w:after="0" w:line="198"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Severability Clause</w:t>
      </w:r>
      <w:r>
        <w:rPr>
          <w:rFonts w:ascii="Times New Roman" w:cs="Times New Roman" w:eastAsia="Times New Roman" w:hAnsi="Times New Roman"/>
          <w:sz w:val="22"/>
          <w:szCs w:val="22"/>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213" w:lineRule="exact"/>
        <w:rPr>
          <w:sz w:val="20"/>
          <w:szCs w:val="20"/>
          <w:color w:val="auto"/>
        </w:rPr>
      </w:pPr>
    </w:p>
    <w:p>
      <w:pPr>
        <w:jc w:val="both"/>
        <w:ind w:firstLine="647"/>
        <w:spacing w:after="0" w:line="249"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Ratification of Indenture; Supplemental Indentures Part of Indenture; No Liability of Trustee</w:t>
      </w:r>
      <w:r>
        <w:rPr>
          <w:rFonts w:ascii="Times New Roman" w:cs="Times New Roman" w:eastAsia="Times New Roman" w:hAnsi="Times New Roman"/>
          <w:sz w:val="22"/>
          <w:szCs w:val="2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the New Guarantors’ Subsidiary Guarantees. Additionally, the Trustee shall not be responsible in any manner whatsoever for or with respect to any of the recitals or statements contained herein, all of which recitals or statements are made solely by the Company, the New Guarantors and the Subsidiary Guarantors, and the Trustee makes no representation with respect to any such matters.</w:t>
      </w:r>
    </w:p>
    <w:p>
      <w:pPr>
        <w:spacing w:after="0" w:line="222" w:lineRule="exact"/>
        <w:rPr>
          <w:sz w:val="20"/>
          <w:szCs w:val="20"/>
          <w:color w:val="auto"/>
        </w:rPr>
      </w:pPr>
    </w:p>
    <w:p>
      <w:pPr>
        <w:jc w:val="both"/>
        <w:ind w:firstLine="647"/>
        <w:spacing w:after="0" w:line="251"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Supplemental Indenture may be executed in any number of counterparts, which when so executed each such counterpart shall together constitute one and the same agreement. The exchange of copies of this Supplemental Indenture and of signature pages by facsimile or other electronic (i.e., “.pdf” or “.tif”) transmission shall constitute effective execution and delivery of this Supplemental Indenture as to the parties hereto and may be used in lieu of the original Indenture for all purposes. Signatures of the parties hereto transmitted by facsimile or other electronic (i.e., “.pdf” or “.tif”) transmission shall be deemed to be their original signatures for all purposes.</w:t>
      </w:r>
    </w:p>
    <w:p>
      <w:pPr>
        <w:spacing w:after="0" w:line="222" w:lineRule="exact"/>
        <w:rPr>
          <w:sz w:val="20"/>
          <w:szCs w:val="20"/>
          <w:color w:val="auto"/>
        </w:rPr>
      </w:pPr>
    </w:p>
    <w:p>
      <w:pPr>
        <w:jc w:val="both"/>
        <w:ind w:firstLine="647"/>
        <w:spacing w:after="0" w:line="295" w:lineRule="auto"/>
        <w:rPr>
          <w:sz w:val="20"/>
          <w:szCs w:val="20"/>
          <w:color w:val="auto"/>
        </w:rPr>
      </w:pPr>
      <w:r>
        <w:rPr>
          <w:rFonts w:ascii="Times New Roman" w:cs="Times New Roman" w:eastAsia="Times New Roman" w:hAnsi="Times New Roman"/>
          <w:sz w:val="21"/>
          <w:szCs w:val="21"/>
          <w:color w:val="auto"/>
        </w:rPr>
        <w:t xml:space="preserve">SECTION 3.5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of the Articles and the sections in this Subsidiary Guarantee are for convenience of reference only and shall not be deemed to alter or affect the meaning or interpretation of any provisions hereof.</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00"/>
          </w:cols>
          <w:pgMar w:left="420" w:top="1340" w:right="479" w:bottom="1440" w:gutter="0" w:footer="0" w:header="0"/>
        </w:sectPr>
      </w:pPr>
    </w:p>
    <w:bookmarkStart w:id="149" w:name="page150"/>
    <w:bookmarkEnd w:id="149"/>
    <w:p>
      <w:pPr>
        <w:ind w:firstLine="647"/>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Supplemental Indenture to be duly executed as of the date first above written.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PLAYTIKA HOLDING CORP.</w:t>
      </w:r>
    </w:p>
    <w:p>
      <w:pPr>
        <w:spacing w:after="0" w:line="228"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Craig Abrahams</w:t>
            </w:r>
          </w:p>
        </w:tc>
        <w:tc>
          <w:tcPr>
            <w:tcW w:w="40" w:type="dxa"/>
            <w:vAlign w:val="bottom"/>
          </w:tcPr>
          <w:p>
            <w:pPr>
              <w:spacing w:after="0"/>
              <w:rPr>
                <w:sz w:val="22"/>
                <w:szCs w:val="22"/>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Name: Craig Abrahams</w:t>
            </w:r>
          </w:p>
        </w:tc>
      </w:tr>
      <w:tr>
        <w:trPr>
          <w:trHeight w:val="302"/>
        </w:trPr>
        <w:tc>
          <w:tcPr>
            <w:tcW w:w="520" w:type="dxa"/>
            <w:vAlign w:val="bottom"/>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Title: President and Chief Financial Officer</w:t>
            </w:r>
          </w:p>
        </w:tc>
      </w:tr>
      <w:tr>
        <w:trPr>
          <w:trHeight w:val="447"/>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w w:val="96"/>
              </w:rPr>
              <w:t>G.S INNPLAY LABS LTD,</w:t>
            </w:r>
          </w:p>
        </w:tc>
        <w:tc>
          <w:tcPr>
            <w:tcW w:w="2060" w:type="dxa"/>
            <w:vAlign w:val="bottom"/>
          </w:tcPr>
          <w:p>
            <w:pPr>
              <w:spacing w:after="0"/>
              <w:rPr>
                <w:sz w:val="24"/>
                <w:szCs w:val="24"/>
                <w:color w:val="auto"/>
              </w:rPr>
            </w:pPr>
          </w:p>
        </w:tc>
      </w:tr>
      <w:tr>
        <w:trPr>
          <w:trHeight w:val="282"/>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as a Guarantor</w:t>
            </w:r>
          </w:p>
        </w:tc>
        <w:tc>
          <w:tcPr>
            <w:tcW w:w="2060" w:type="dxa"/>
            <w:vAlign w:val="bottom"/>
          </w:tcPr>
          <w:p>
            <w:pPr>
              <w:spacing w:after="0"/>
              <w:rPr>
                <w:sz w:val="24"/>
                <w:szCs w:val="24"/>
                <w:color w:val="auto"/>
              </w:rPr>
            </w:pPr>
          </w:p>
        </w:tc>
      </w:tr>
      <w:tr>
        <w:trPr>
          <w:trHeight w:val="461"/>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Craig Abrahams</w:t>
            </w:r>
          </w:p>
        </w:tc>
        <w:tc>
          <w:tcPr>
            <w:tcW w:w="4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Name: Craig Abrahams</w:t>
            </w:r>
          </w:p>
        </w:tc>
      </w:tr>
      <w:tr>
        <w:trPr>
          <w:trHeight w:val="289"/>
        </w:trPr>
        <w:tc>
          <w:tcPr>
            <w:tcW w:w="52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Director</w:t>
            </w:r>
          </w:p>
        </w:tc>
        <w:tc>
          <w:tcPr>
            <w:tcW w:w="2060" w:type="dxa"/>
            <w:vAlign w:val="bottom"/>
          </w:tcPr>
          <w:p>
            <w:pPr>
              <w:spacing w:after="0"/>
              <w:rPr>
                <w:sz w:val="24"/>
                <w:szCs w:val="24"/>
                <w:color w:val="auto"/>
              </w:rPr>
            </w:pPr>
          </w:p>
        </w:tc>
      </w:tr>
      <w:tr>
        <w:trPr>
          <w:trHeight w:val="460"/>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SCREENSHAKE LTD,</w:t>
            </w:r>
          </w:p>
        </w:tc>
        <w:tc>
          <w:tcPr>
            <w:tcW w:w="2060" w:type="dxa"/>
            <w:vAlign w:val="bottom"/>
          </w:tcPr>
          <w:p>
            <w:pPr>
              <w:spacing w:after="0"/>
              <w:rPr>
                <w:sz w:val="24"/>
                <w:szCs w:val="24"/>
                <w:color w:val="auto"/>
              </w:rPr>
            </w:pPr>
          </w:p>
        </w:tc>
      </w:tr>
      <w:tr>
        <w:trPr>
          <w:trHeight w:val="282"/>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as a Guarantor</w:t>
            </w:r>
          </w:p>
        </w:tc>
        <w:tc>
          <w:tcPr>
            <w:tcW w:w="2060" w:type="dxa"/>
            <w:vAlign w:val="bottom"/>
          </w:tcPr>
          <w:p>
            <w:pPr>
              <w:spacing w:after="0"/>
              <w:rPr>
                <w:sz w:val="24"/>
                <w:szCs w:val="24"/>
                <w:color w:val="auto"/>
              </w:rPr>
            </w:pPr>
          </w:p>
        </w:tc>
      </w:tr>
      <w:tr>
        <w:trPr>
          <w:trHeight w:val="461"/>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Craig Abrahams</w:t>
            </w:r>
          </w:p>
        </w:tc>
        <w:tc>
          <w:tcPr>
            <w:tcW w:w="4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Name: Craig Abrahams</w:t>
            </w:r>
          </w:p>
        </w:tc>
      </w:tr>
      <w:tr>
        <w:trPr>
          <w:trHeight w:val="289"/>
        </w:trPr>
        <w:tc>
          <w:tcPr>
            <w:tcW w:w="52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Director</w:t>
            </w:r>
          </w:p>
        </w:tc>
        <w:tc>
          <w:tcPr>
            <w:tcW w:w="2060" w:type="dxa"/>
            <w:vAlign w:val="bottom"/>
          </w:tcPr>
          <w:p>
            <w:pPr>
              <w:spacing w:after="0"/>
              <w:rPr>
                <w:sz w:val="24"/>
                <w:szCs w:val="24"/>
                <w:color w:val="auto"/>
              </w:rPr>
            </w:pPr>
          </w:p>
        </w:tc>
      </w:tr>
      <w:tr>
        <w:trPr>
          <w:trHeight w:val="447"/>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SIMPLE PLAY LTD,</w:t>
            </w:r>
          </w:p>
        </w:tc>
        <w:tc>
          <w:tcPr>
            <w:tcW w:w="2060" w:type="dxa"/>
            <w:vAlign w:val="bottom"/>
          </w:tcPr>
          <w:p>
            <w:pPr>
              <w:spacing w:after="0"/>
              <w:rPr>
                <w:sz w:val="24"/>
                <w:szCs w:val="24"/>
                <w:color w:val="auto"/>
              </w:rPr>
            </w:pPr>
          </w:p>
        </w:tc>
      </w:tr>
      <w:tr>
        <w:trPr>
          <w:trHeight w:val="282"/>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as a Guarantor</w:t>
            </w:r>
          </w:p>
        </w:tc>
        <w:tc>
          <w:tcPr>
            <w:tcW w:w="2060" w:type="dxa"/>
            <w:vAlign w:val="bottom"/>
          </w:tcPr>
          <w:p>
            <w:pPr>
              <w:spacing w:after="0"/>
              <w:rPr>
                <w:sz w:val="24"/>
                <w:szCs w:val="24"/>
                <w:color w:val="auto"/>
              </w:rPr>
            </w:pPr>
          </w:p>
        </w:tc>
      </w:tr>
      <w:tr>
        <w:trPr>
          <w:trHeight w:val="460"/>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Craig Abrahams</w:t>
            </w:r>
          </w:p>
        </w:tc>
        <w:tc>
          <w:tcPr>
            <w:tcW w:w="4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Name: Craig Abrahams</w:t>
            </w:r>
          </w:p>
        </w:tc>
      </w:tr>
      <w:tr>
        <w:trPr>
          <w:trHeight w:val="303"/>
        </w:trPr>
        <w:tc>
          <w:tcPr>
            <w:tcW w:w="52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Director</w:t>
            </w:r>
          </w:p>
        </w:tc>
        <w:tc>
          <w:tcPr>
            <w:tcW w:w="2060" w:type="dxa"/>
            <w:vAlign w:val="bottom"/>
          </w:tcPr>
          <w:p>
            <w:pPr>
              <w:spacing w:after="0"/>
              <w:rPr>
                <w:sz w:val="24"/>
                <w:szCs w:val="24"/>
                <w:color w:val="auto"/>
              </w:rPr>
            </w:pPr>
          </w:p>
        </w:tc>
      </w:tr>
      <w:tr>
        <w:trPr>
          <w:trHeight w:val="447"/>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SUPERPLAY LTD,</w:t>
            </w:r>
          </w:p>
        </w:tc>
        <w:tc>
          <w:tcPr>
            <w:tcW w:w="2060" w:type="dxa"/>
            <w:vAlign w:val="bottom"/>
          </w:tcPr>
          <w:p>
            <w:pPr>
              <w:spacing w:after="0"/>
              <w:rPr>
                <w:sz w:val="24"/>
                <w:szCs w:val="24"/>
                <w:color w:val="auto"/>
              </w:rPr>
            </w:pPr>
          </w:p>
        </w:tc>
      </w:tr>
      <w:tr>
        <w:trPr>
          <w:trHeight w:val="282"/>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as a Guarantor</w:t>
            </w:r>
          </w:p>
        </w:tc>
        <w:tc>
          <w:tcPr>
            <w:tcW w:w="2060" w:type="dxa"/>
            <w:vAlign w:val="bottom"/>
          </w:tcPr>
          <w:p>
            <w:pPr>
              <w:spacing w:after="0"/>
              <w:rPr>
                <w:sz w:val="24"/>
                <w:szCs w:val="24"/>
                <w:color w:val="auto"/>
              </w:rPr>
            </w:pPr>
          </w:p>
        </w:tc>
      </w:tr>
      <w:tr>
        <w:trPr>
          <w:trHeight w:val="461"/>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Craig Abrahams</w:t>
            </w:r>
          </w:p>
        </w:tc>
        <w:tc>
          <w:tcPr>
            <w:tcW w:w="4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Name: Craig Abrahams</w:t>
            </w:r>
          </w:p>
        </w:tc>
      </w:tr>
      <w:tr>
        <w:trPr>
          <w:trHeight w:val="289"/>
        </w:trPr>
        <w:tc>
          <w:tcPr>
            <w:tcW w:w="52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Title: Director</w:t>
            </w:r>
          </w:p>
        </w:tc>
        <w:tc>
          <w:tcPr>
            <w:tcW w:w="2060" w:type="dxa"/>
            <w:vAlign w:val="bottom"/>
          </w:tcPr>
          <w:p>
            <w:pPr>
              <w:spacing w:after="0"/>
              <w:rPr>
                <w:sz w:val="24"/>
                <w:szCs w:val="24"/>
                <w:color w:val="auto"/>
              </w:rPr>
            </w:pPr>
          </w:p>
        </w:tc>
      </w:tr>
      <w:tr>
        <w:trPr>
          <w:trHeight w:val="460"/>
        </w:trPr>
        <w:tc>
          <w:tcPr>
            <w:tcW w:w="4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SUPERPLAY GAMES LLC,</w:t>
            </w:r>
          </w:p>
        </w:tc>
      </w:tr>
      <w:tr>
        <w:trPr>
          <w:trHeight w:val="282"/>
        </w:trPr>
        <w:tc>
          <w:tcPr>
            <w:tcW w:w="2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as a Guarantor</w:t>
            </w:r>
          </w:p>
        </w:tc>
        <w:tc>
          <w:tcPr>
            <w:tcW w:w="2060" w:type="dxa"/>
            <w:vAlign w:val="bottom"/>
          </w:tcPr>
          <w:p>
            <w:pPr>
              <w:spacing w:after="0"/>
              <w:rPr>
                <w:sz w:val="24"/>
                <w:szCs w:val="24"/>
                <w:color w:val="auto"/>
              </w:rPr>
            </w:pPr>
          </w:p>
        </w:tc>
      </w:tr>
      <w:tr>
        <w:trPr>
          <w:trHeight w:val="460"/>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Craig Abrahams</w:t>
            </w:r>
          </w:p>
        </w:tc>
        <w:tc>
          <w:tcPr>
            <w:tcW w:w="4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Name: Craig Abrahams</w:t>
            </w:r>
          </w:p>
        </w:tc>
      </w:tr>
      <w:tr>
        <w:trPr>
          <w:trHeight w:val="289"/>
        </w:trPr>
        <w:tc>
          <w:tcPr>
            <w:tcW w:w="520" w:type="dxa"/>
            <w:vAlign w:val="bottom"/>
          </w:tcPr>
          <w:p>
            <w:pPr>
              <w:spacing w:after="0"/>
              <w:rPr>
                <w:sz w:val="24"/>
                <w:szCs w:val="24"/>
                <w:color w:val="auto"/>
              </w:rPr>
            </w:pPr>
          </w:p>
        </w:tc>
        <w:tc>
          <w:tcPr>
            <w:tcW w:w="40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Title: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i w:val="1"/>
          <w:iCs w:val="1"/>
          <w:color w:val="auto"/>
        </w:rPr>
        <w:t>[Signature Page to Second Supplemental Indenture]</w:t>
      </w:r>
    </w:p>
    <w:p>
      <w:pPr>
        <w:sectPr>
          <w:pgSz w:w="11900" w:h="16838" w:orient="portrait"/>
          <w:cols w:equalWidth="0" w:num="1">
            <w:col w:w="10660"/>
          </w:cols>
          <w:pgMar w:left="420" w:top="1408" w:right="819" w:bottom="1440" w:gutter="0" w:footer="0" w:header="0"/>
        </w:sectPr>
      </w:pPr>
    </w:p>
    <w:bookmarkStart w:id="150" w:name="page151"/>
    <w:bookmarkEnd w:id="150"/>
    <w:p>
      <w:pPr>
        <w:ind w:left="2880" w:right="999" w:firstLine="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WILMINGTON TRUST, NATIONAL ASSOCIATION, </w:t>
      </w:r>
      <w:r>
        <w:rPr>
          <w:rFonts w:ascii="Times New Roman" w:cs="Times New Roman" w:eastAsia="Times New Roman" w:hAnsi="Times New Roman"/>
          <w:sz w:val="22"/>
          <w:szCs w:val="22"/>
          <w:color w:val="auto"/>
        </w:rPr>
        <w:t>as Trustee</w:t>
      </w:r>
    </w:p>
    <w:p>
      <w:pPr>
        <w:spacing w:after="0" w:line="208" w:lineRule="exact"/>
        <w:rPr>
          <w:sz w:val="20"/>
          <w:szCs w:val="20"/>
          <w:color w:val="auto"/>
        </w:rPr>
      </w:pPr>
    </w:p>
    <w:p>
      <w:pPr>
        <w:ind w:left="2880"/>
        <w:spacing w:after="0"/>
        <w:tabs>
          <w:tab w:leader="none" w:pos="3440" w:val="left"/>
          <w:tab w:leader="none" w:pos="5700" w:val="left"/>
        </w:tabs>
        <w:rPr>
          <w:sz w:val="20"/>
          <w:szCs w:val="20"/>
          <w:color w:val="auto"/>
        </w:rPr>
      </w:pPr>
      <w:r>
        <w:rPr>
          <w:rFonts w:ascii="Times New Roman" w:cs="Times New Roman" w:eastAsia="Times New Roman" w:hAnsi="Times New Roman"/>
          <w:sz w:val="22"/>
          <w:szCs w:val="22"/>
          <w:color w:val="auto"/>
        </w:rPr>
        <w:t>By:</w:t>
        <w:tab/>
        <w:t>/s/ Karleen R. Bratland</w:t>
      </w:r>
      <w:r>
        <w:rPr>
          <w:sz w:val="20"/>
          <w:szCs w:val="20"/>
          <w:color w:val="auto"/>
        </w:rPr>
        <w:tab/>
      </w:r>
      <w:r>
        <w:rPr>
          <w:rFonts w:ascii="Times New Roman" w:cs="Times New Roman" w:eastAsia="Times New Roman" w:hAnsi="Times New Roman"/>
          <w:sz w:val="21"/>
          <w:szCs w:val="21"/>
          <w:color w:val="auto"/>
        </w:rPr>
        <w:t>Name: Karleen R. Bratland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-13970</wp:posOffset>
            </wp:positionV>
            <wp:extent cx="14357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1435735" cy="8255"/>
                    </a:xfrm>
                    <a:prstGeom prst="rect">
                      <a:avLst/>
                    </a:prstGeom>
                    <a:noFill/>
                  </pic:spPr>
                </pic:pic>
              </a:graphicData>
            </a:graphic>
          </wp:anchor>
        </w:drawing>
      </w:r>
    </w:p>
    <w:p>
      <w:pPr>
        <w:spacing w:after="0" w:line="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to Second Supplemental Indenture]</w:t>
      </w:r>
    </w:p>
    <w:p>
      <w:pPr>
        <w:sectPr>
          <w:pgSz w:w="11900" w:h="16838" w:orient="portrait"/>
          <w:cols w:equalWidth="0" w:num="1">
            <w:col w:w="9019"/>
          </w:cols>
          <w:pgMar w:left="1440" w:top="1336"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b w:val="1"/>
          <w:bCs w:val="1"/>
          <w:color w:val="auto"/>
        </w:rPr>
        <w:t>Exhibit 10.5.1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SHARE PURCHASE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FIRST AMENDMENT TO SHARE PURCHASE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January __, 2025, is entered into by and among Playtika Ltd., a company organized under the laws of the State of Israel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SuperPlay Ltd., a company organized under the laws of the State of Israel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Gigi Levy-Weiss, solely in his capacity as representative of the Company Securityholders (the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(and additional parties) entered into that certain Share Purchase Agreement dated September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18, 2024 (the “</w:t>
      </w:r>
      <w:r>
        <w:rPr>
          <w:rFonts w:ascii="Times New Roman" w:cs="Times New Roman" w:eastAsia="Times New Roman" w:hAnsi="Times New Roman"/>
          <w:sz w:val="22"/>
          <w:szCs w:val="22"/>
          <w:b w:val="1"/>
          <w:bCs w:val="1"/>
          <w:color w:val="auto"/>
        </w:rPr>
        <w:t>Share Purchase Agreement</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have agreed to amend the Share Purchase Agreement pursuant to Section 11.2 thereof, all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this Amendment.</w:t>
      </w:r>
    </w:p>
    <w:p>
      <w:pPr>
        <w:spacing w:after="0" w:line="43" w:lineRule="exact"/>
        <w:rPr>
          <w:sz w:val="20"/>
          <w:szCs w:val="20"/>
          <w:color w:val="auto"/>
        </w:rPr>
      </w:pPr>
    </w:p>
    <w:p>
      <w:pPr>
        <w:jc w:val="both"/>
        <w:ind w:firstLine="302"/>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and the mutual promises hereinafter set forth, the parties hereto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amend the Share Purchase Agreement as follows:</w:t>
      </w:r>
    </w:p>
    <w:p>
      <w:pPr>
        <w:spacing w:after="0" w:line="47" w:lineRule="exact"/>
        <w:rPr>
          <w:sz w:val="20"/>
          <w:szCs w:val="20"/>
          <w:color w:val="auto"/>
        </w:rPr>
      </w:pPr>
    </w:p>
    <w:p>
      <w:pPr>
        <w:ind w:left="620" w:right="40" w:hanging="450"/>
        <w:spacing w:after="0" w:line="284" w:lineRule="auto"/>
        <w:tabs>
          <w:tab w:leader="none" w:pos="61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set forth herein, capitalized terms not defined herein shall have the meanings ascribed to them in the Share Purchase Agreement.</w:t>
      </w:r>
    </w:p>
    <w:p>
      <w:pPr>
        <w:spacing w:after="0" w:line="143" w:lineRule="exact"/>
        <w:rPr>
          <w:rFonts w:ascii="Times New Roman" w:cs="Times New Roman" w:eastAsia="Times New Roman" w:hAnsi="Times New Roman"/>
          <w:sz w:val="22"/>
          <w:szCs w:val="22"/>
          <w:color w:val="auto"/>
        </w:rPr>
      </w:pPr>
    </w:p>
    <w:p>
      <w:pPr>
        <w:ind w:left="620" w:hanging="450"/>
        <w:spacing w:after="0"/>
        <w:tabs>
          <w:tab w:leader="none" w:pos="6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preface to this Amendment constitutes an integral part thereof.</w:t>
      </w:r>
    </w:p>
    <w:p>
      <w:pPr>
        <w:spacing w:after="0" w:line="219" w:lineRule="exact"/>
        <w:rPr>
          <w:rFonts w:ascii="Times New Roman" w:cs="Times New Roman" w:eastAsia="Times New Roman" w:hAnsi="Times New Roman"/>
          <w:sz w:val="22"/>
          <w:szCs w:val="22"/>
          <w:color w:val="auto"/>
        </w:rPr>
      </w:pPr>
    </w:p>
    <w:p>
      <w:pPr>
        <w:ind w:left="620" w:hanging="450"/>
        <w:spacing w:after="0"/>
        <w:tabs>
          <w:tab w:leader="none" w:pos="6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amendment shall apply to the Share Purchase Agreement, effective immediately:</w:t>
      </w:r>
    </w:p>
    <w:p>
      <w:pPr>
        <w:spacing w:after="0" w:line="220" w:lineRule="exact"/>
        <w:rPr>
          <w:sz w:val="20"/>
          <w:szCs w:val="20"/>
          <w:color w:val="auto"/>
        </w:rPr>
      </w:pPr>
    </w:p>
    <w:p>
      <w:pPr>
        <w:jc w:val="right"/>
        <w:ind w:left="500" w:right="40"/>
        <w:spacing w:after="0" w:line="254" w:lineRule="auto"/>
        <w:rPr>
          <w:sz w:val="20"/>
          <w:szCs w:val="20"/>
          <w:color w:val="auto"/>
        </w:rPr>
      </w:pPr>
      <w:r>
        <w:rPr>
          <w:rFonts w:ascii="Times New Roman" w:cs="Times New Roman" w:eastAsia="Times New Roman" w:hAnsi="Times New Roman"/>
          <w:sz w:val="22"/>
          <w:szCs w:val="22"/>
          <w:color w:val="auto"/>
        </w:rPr>
        <w:t>3.1   In sub-Section 2.6(c) of the Share Purchase Agreement (“Determination of Final Closing Statement”), the first sentence shall be amended by striking the term “Seventy Five (75)” and replacing it with “One Hundred and Five</w:t>
      </w:r>
    </w:p>
    <w:p>
      <w:pPr>
        <w:spacing w:after="0" w:line="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(105)” to read as follows:</w:t>
      </w:r>
    </w:p>
    <w:p>
      <w:pPr>
        <w:spacing w:after="0" w:line="237" w:lineRule="exact"/>
        <w:rPr>
          <w:sz w:val="20"/>
          <w:szCs w:val="20"/>
          <w:color w:val="auto"/>
        </w:rPr>
      </w:pPr>
    </w:p>
    <w:p>
      <w:pPr>
        <w:jc w:val="both"/>
        <w:ind w:left="1100" w:right="40"/>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Within One Hundred and Five (105) days following the Closing Date (the “</w:t>
      </w:r>
      <w:r>
        <w:rPr>
          <w:rFonts w:ascii="Times New Roman" w:cs="Times New Roman" w:eastAsia="Times New Roman" w:hAnsi="Times New Roman"/>
          <w:sz w:val="19"/>
          <w:szCs w:val="19"/>
          <w:i w:val="1"/>
          <w:iCs w:val="1"/>
          <w:u w:val="single" w:color="auto"/>
          <w:color w:val="auto"/>
        </w:rPr>
        <w:t>Draft Closing Statement Deadline</w:t>
      </w:r>
      <w:r>
        <w:rPr>
          <w:rFonts w:ascii="Times New Roman" w:cs="Times New Roman" w:eastAsia="Times New Roman" w:hAnsi="Times New Roman"/>
          <w:sz w:val="19"/>
          <w:szCs w:val="19"/>
          <w:i w:val="1"/>
          <w:iCs w:val="1"/>
          <w:color w:val="auto"/>
        </w:rPr>
        <w:t>”), Buyer shall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 to the Representative a statement setting forth Buyer’s calculation of the (i) Closing Date Cash and Cash Equivalents,</w:t>
      </w:r>
    </w:p>
    <w:p>
      <w:pPr>
        <w:jc w:val="both"/>
        <w:ind w:left="1100" w:right="40" w:firstLine="7"/>
        <w:spacing w:after="0" w:line="253" w:lineRule="auto"/>
        <w:tabs>
          <w:tab w:leader="none" w:pos="1411" w:val="left"/>
        </w:tabs>
        <w:numPr>
          <w:ilvl w:val="1"/>
          <w:numId w:val="4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Closing Date Working Capital, (iii) Closing Date Indebtedness, (iv) Closing Date Transaction Expenses; (v) the Interim Period Adjustment Amount; the (vi) Interim Period Closing Adjustment Payment; and (vii) the Closing Date Purchase Price based upon such items (such estimates in clauses (i)-(vii), collectively, the “</w:t>
      </w:r>
      <w:r>
        <w:rPr>
          <w:rFonts w:ascii="Times New Roman" w:cs="Times New Roman" w:eastAsia="Times New Roman" w:hAnsi="Times New Roman"/>
          <w:sz w:val="20"/>
          <w:szCs w:val="20"/>
          <w:i w:val="1"/>
          <w:iCs w:val="1"/>
          <w:u w:val="single" w:color="auto"/>
          <w:color w:val="auto"/>
        </w:rPr>
        <w:t>Draft Closing Statement</w:t>
      </w:r>
      <w:r>
        <w:rPr>
          <w:rFonts w:ascii="Times New Roman" w:cs="Times New Roman" w:eastAsia="Times New Roman" w:hAnsi="Times New Roman"/>
          <w:sz w:val="20"/>
          <w:szCs w:val="20"/>
          <w:i w:val="1"/>
          <w:iCs w:val="1"/>
          <w:color w:val="auto"/>
        </w:rPr>
        <w:t>”) or an acceptance statement of the Estimated Closing Statement (the “</w:t>
      </w:r>
      <w:r>
        <w:rPr>
          <w:rFonts w:ascii="Times New Roman" w:cs="Times New Roman" w:eastAsia="Times New Roman" w:hAnsi="Times New Roman"/>
          <w:sz w:val="20"/>
          <w:szCs w:val="20"/>
          <w:i w:val="1"/>
          <w:iCs w:val="1"/>
          <w:u w:val="single" w:color="auto"/>
          <w:color w:val="auto"/>
        </w:rPr>
        <w:t>Buyer Acceptance Statement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i w:val="1"/>
          <w:iCs w:val="1"/>
          <w:color w:val="auto"/>
        </w:rPr>
      </w:pPr>
    </w:p>
    <w:p>
      <w:pPr>
        <w:jc w:val="both"/>
        <w:ind w:left="620" w:right="40" w:hanging="450"/>
        <w:spacing w:after="0" w:line="263" w:lineRule="auto"/>
        <w:tabs>
          <w:tab w:leader="none" w:pos="61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removal of doubt, it is hereby clarified that, other than as specifically provided herein, the provisions of the Share Purchase Agreement (including, without limitation, the remaining part of Section 2.6(c) of the Share Purchase Agreement) shall remain in full force and effect.</w:t>
      </w:r>
    </w:p>
    <w:p>
      <w:pPr>
        <w:sectPr>
          <w:pgSz w:w="11900" w:h="16838" w:orient="portrait"/>
          <w:cols w:equalWidth="0" w:num="1">
            <w:col w:w="11240"/>
          </w:cols>
          <w:pgMar w:left="320" w:top="115" w:right="339" w:bottom="1440" w:gutter="0" w:footer="0" w:header="0"/>
        </w:sectPr>
      </w:pPr>
    </w:p>
    <w:bookmarkStart w:id="152" w:name="page153"/>
    <w:bookmarkEnd w:id="152"/>
    <w:p>
      <w:pPr>
        <w:jc w:val="both"/>
        <w:ind w:left="450" w:hanging="450"/>
        <w:spacing w:after="0" w:line="256" w:lineRule="auto"/>
        <w:tabs>
          <w:tab w:leader="none" w:pos="44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governed in all respects by the laws of the State of Israel, without regard for the conflict of law provisions thereof. The parties hereto irrevocably submit to the exclusive jurisdiction of any court of competent jurisdiction located within the district of Tel Aviv in respect of any dispute arising out of or in connection with this Amendment.</w:t>
      </w:r>
    </w:p>
    <w:p>
      <w:pPr>
        <w:spacing w:after="0" w:line="176" w:lineRule="exact"/>
        <w:rPr>
          <w:rFonts w:ascii="Times New Roman" w:cs="Times New Roman" w:eastAsia="Times New Roman" w:hAnsi="Times New Roman"/>
          <w:sz w:val="22"/>
          <w:szCs w:val="22"/>
          <w:color w:val="auto"/>
        </w:rPr>
      </w:pPr>
    </w:p>
    <w:p>
      <w:pPr>
        <w:ind w:left="450" w:hanging="450"/>
        <w:spacing w:after="0" w:line="271" w:lineRule="auto"/>
        <w:tabs>
          <w:tab w:leader="none" w:pos="44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one or more counterparts, each of which shall be deemed to be an original, but all of which together shall constitute one and the same instrument.</w:t>
      </w:r>
    </w:p>
    <w:p>
      <w:pPr>
        <w:spacing w:after="0" w:line="154" w:lineRule="exact"/>
        <w:rPr>
          <w:sz w:val="20"/>
          <w:szCs w:val="20"/>
          <w:color w:val="auto"/>
        </w:rPr>
      </w:pPr>
    </w:p>
    <w:p>
      <w:pPr>
        <w:jc w:val="center"/>
        <w:ind w:right="11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ectPr>
          <w:pgSz w:w="11900" w:h="16838" w:orient="portrait"/>
          <w:cols w:equalWidth="0" w:num="1">
            <w:col w:w="11030"/>
          </w:cols>
          <w:pgMar w:left="490" w:top="1422" w:right="37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as of the date first written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PLAYTIKA LTD.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2382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Craig Abrahams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SUPERPLAY LTD.</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Gilad Almog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0210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Gilad Almog</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REPRESENTATIVE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GIGI LEVY-WEISS, as the Representative</w:t>
      </w:r>
    </w:p>
    <w:p>
      <w:pPr>
        <w:spacing w:after="0" w:line="200" w:lineRule="exact"/>
        <w:rPr>
          <w:sz w:val="20"/>
          <w:szCs w:val="20"/>
          <w:color w:val="auto"/>
        </w:rPr>
      </w:pPr>
    </w:p>
    <w:p>
      <w:pPr>
        <w:spacing w:after="0" w:line="280"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2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/s/ Gigi Levy-Weiss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w:t>
            </w:r>
          </w:p>
        </w:tc>
      </w:tr>
      <w:tr>
        <w:trPr>
          <w:trHeight w:val="20"/>
        </w:trPr>
        <w:tc>
          <w:tcPr>
            <w:tcW w:w="3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63"/>
        </w:trPr>
        <w:tc>
          <w:tcPr>
            <w:tcW w:w="2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540" w:type="dxa"/>
            <w:vAlign w:val="bottom"/>
          </w:tcPr>
          <w:p>
            <w:pPr>
              <w:spacing w:after="0"/>
              <w:rPr>
                <w:sz w:val="22"/>
                <w:szCs w:val="22"/>
                <w:color w:val="auto"/>
              </w:rPr>
            </w:pPr>
          </w:p>
        </w:tc>
      </w:tr>
      <w:tr>
        <w:trPr>
          <w:trHeight w:val="282"/>
        </w:trPr>
        <w:tc>
          <w:tcPr>
            <w:tcW w:w="2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540" w:type="dxa"/>
            <w:vAlign w:val="bottom"/>
          </w:tcPr>
          <w:p>
            <w:pPr>
              <w:spacing w:after="0"/>
              <w:rPr>
                <w:sz w:val="24"/>
                <w:szCs w:val="24"/>
                <w:color w:val="auto"/>
              </w:rPr>
            </w:pPr>
          </w:p>
        </w:tc>
      </w:tr>
    </w:tbl>
    <w:p>
      <w:pPr>
        <w:sectPr>
          <w:pgSz w:w="11900" w:h="16838" w:orient="portrait"/>
          <w:cols w:equalWidth="0" w:num="1">
            <w:col w:w="11220"/>
          </w:cols>
          <w:pgMar w:left="320" w:top="1422" w:right="35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 SHARE PURCHASE AGREEMENT</w:t>
      </w:r>
    </w:p>
    <w:p>
      <w:pPr>
        <w:spacing w:after="0" w:line="2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This THIRD AMENDMENT TO SHARE PURCHASE AGREEMENT (this “</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dated as of January 13, 2026, is entered into by and among Playtika Ltd., a company organized under the laws of the State of Israel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SuperPlay Ltd., a company organized under the laws of the State of Israel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Gigi Levy-Weiss, solely in his capacity as representative of the Company Securityholders (the “</w:t>
      </w:r>
      <w:r>
        <w:rPr>
          <w:rFonts w:ascii="Times New Roman" w:cs="Times New Roman" w:eastAsia="Times New Roman" w:hAnsi="Times New Roman"/>
          <w:sz w:val="22"/>
          <w:szCs w:val="22"/>
          <w:u w:val="single" w:color="auto"/>
          <w:color w:val="auto"/>
        </w:rPr>
        <w:t>Representative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hereto (and additional parties) entered into that certain Share Purchase Agreement dated September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18, 2024, as amended on January 16, 2025, and on May 29, 2025 (the “</w:t>
      </w:r>
      <w:r>
        <w:rPr>
          <w:rFonts w:ascii="Times New Roman" w:cs="Times New Roman" w:eastAsia="Times New Roman" w:hAnsi="Times New Roman"/>
          <w:sz w:val="22"/>
          <w:szCs w:val="22"/>
          <w:u w:val="single" w:color="auto"/>
          <w:color w:val="auto"/>
        </w:rPr>
        <w:t>Share Purchase Agreement</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wish to further amend the Share Purchase Agreement by entering into this Third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as set forth in this Third Amendment.</w:t>
      </w:r>
    </w:p>
    <w:p>
      <w:pPr>
        <w:spacing w:after="0" w:line="151"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and the mutual promises hereinafter set forth, the parties hereto hereby agree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amend the Share Purchase Agreement as follows:</w:t>
      </w:r>
    </w:p>
    <w:p>
      <w:pPr>
        <w:spacing w:after="0" w:line="60" w:lineRule="exact"/>
        <w:rPr>
          <w:sz w:val="20"/>
          <w:szCs w:val="20"/>
          <w:color w:val="auto"/>
        </w:rPr>
      </w:pPr>
    </w:p>
    <w:p>
      <w:pPr>
        <w:ind w:left="620" w:right="40" w:hanging="450"/>
        <w:spacing w:after="0" w:line="296" w:lineRule="auto"/>
        <w:tabs>
          <w:tab w:leader="none" w:pos="61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set forth herein, capitalized terms not defined herein shall have the meanings ascribed to them in the Share Purchase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Earn-Out Accounting Treatment:</w:t>
      </w:r>
    </w:p>
    <w:p>
      <w:pPr>
        <w:spacing w:after="0" w:line="251" w:lineRule="exact"/>
        <w:rPr>
          <w:sz w:val="20"/>
          <w:szCs w:val="20"/>
          <w:color w:val="auto"/>
        </w:rPr>
      </w:pPr>
    </w:p>
    <w:p>
      <w:pPr>
        <w:ind w:left="620" w:hanging="450"/>
        <w:spacing w:after="0"/>
        <w:tabs>
          <w:tab w:leader="none" w:pos="6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Amendment, the following definitions shall have the meanings set forth below:</w:t>
      </w:r>
    </w:p>
    <w:p>
      <w:pPr>
        <w:spacing w:after="0" w:line="260" w:lineRule="exact"/>
        <w:rPr>
          <w:sz w:val="20"/>
          <w:szCs w:val="20"/>
          <w:color w:val="auto"/>
        </w:rPr>
      </w:pPr>
    </w:p>
    <w:p>
      <w:pPr>
        <w:jc w:val="both"/>
        <w:ind w:left="1100" w:right="40" w:hanging="612"/>
        <w:spacing w:after="0" w:line="282" w:lineRule="auto"/>
        <w:tabs>
          <w:tab w:leader="none" w:pos="10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 Incurred Basis</w:t>
      </w:r>
      <w:r>
        <w:rPr>
          <w:rFonts w:ascii="Times New Roman" w:cs="Times New Roman" w:eastAsia="Times New Roman" w:hAnsi="Times New Roman"/>
          <w:sz w:val="22"/>
          <w:szCs w:val="22"/>
          <w:color w:val="auto"/>
        </w:rPr>
        <w:t>” shall mean recognizing Advertising Production Costs (as defined below) at the time such costs are incurred or the related services are received, regardless of when the advertisement is first aired or otherwise disseminated.</w:t>
      </w:r>
    </w:p>
    <w:p>
      <w:pPr>
        <w:spacing w:after="0" w:line="175" w:lineRule="exact"/>
        <w:rPr>
          <w:sz w:val="20"/>
          <w:szCs w:val="20"/>
          <w:color w:val="auto"/>
        </w:rPr>
      </w:pPr>
    </w:p>
    <w:p>
      <w:pPr>
        <w:jc w:val="both"/>
        <w:ind w:left="1100" w:right="40" w:hanging="612"/>
        <w:spacing w:after="0" w:line="289" w:lineRule="auto"/>
        <w:tabs>
          <w:tab w:leader="none" w:pos="10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 Aired Basis</w:t>
      </w:r>
      <w:r>
        <w:rPr>
          <w:rFonts w:ascii="Times New Roman" w:cs="Times New Roman" w:eastAsia="Times New Roman" w:hAnsi="Times New Roman"/>
          <w:sz w:val="22"/>
          <w:szCs w:val="22"/>
          <w:color w:val="auto"/>
        </w:rPr>
        <w:t>” shall mean recognizing Advertising Production Costs (as defined below) when the related advertising is first broadcast, published, or otherwise made available to the public. Under this method, production costs are capitalized until the advertisement is first aired, at which point they are expensed.</w:t>
      </w:r>
    </w:p>
    <w:p>
      <w:pPr>
        <w:spacing w:after="0" w:line="166" w:lineRule="exact"/>
        <w:rPr>
          <w:sz w:val="20"/>
          <w:szCs w:val="20"/>
          <w:color w:val="auto"/>
        </w:rPr>
      </w:pPr>
    </w:p>
    <w:p>
      <w:pPr>
        <w:jc w:val="both"/>
        <w:ind w:left="1100" w:right="40" w:hanging="612"/>
        <w:spacing w:after="0" w:line="309" w:lineRule="auto"/>
        <w:tabs>
          <w:tab w:leader="none" w:pos="10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Advertising Production Costs</w:t>
      </w:r>
      <w:r>
        <w:rPr>
          <w:rFonts w:ascii="Times New Roman" w:cs="Times New Roman" w:eastAsia="Times New Roman" w:hAnsi="Times New Roman"/>
          <w:sz w:val="22"/>
          <w:szCs w:val="22"/>
          <w:color w:val="auto"/>
        </w:rPr>
        <w:t>” shall mean any and all production costs incurred by the Company and its Subsidiaries during the applicable period related to third party offline media production.</w:t>
      </w:r>
    </w:p>
    <w:p>
      <w:pPr>
        <w:spacing w:after="0" w:line="145" w:lineRule="exact"/>
        <w:rPr>
          <w:sz w:val="20"/>
          <w:szCs w:val="20"/>
          <w:color w:val="auto"/>
        </w:rPr>
      </w:pPr>
    </w:p>
    <w:p>
      <w:pPr>
        <w:ind w:left="620" w:right="40" w:hanging="450"/>
        <w:spacing w:after="0" w:line="296" w:lineRule="auto"/>
        <w:tabs>
          <w:tab w:leader="none" w:pos="61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satisfaction of the conditions and requirements set forth in paragraph 4 with respect to the fourth quarter of the fiscal year 2025, and</w:t>
      </w:r>
    </w:p>
    <w:p>
      <w:pPr>
        <w:sectPr>
          <w:pgSz w:w="11900" w:h="16838" w:orient="portrait"/>
          <w:cols w:equalWidth="0" w:num="1">
            <w:col w:w="11240"/>
          </w:cols>
          <w:pgMar w:left="320" w:top="135"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450" w:right="40"/>
        <w:spacing w:after="0" w:line="279" w:lineRule="auto"/>
        <w:rPr>
          <w:sz w:val="20"/>
          <w:szCs w:val="20"/>
          <w:color w:val="auto"/>
        </w:rPr>
      </w:pPr>
      <w:r>
        <w:rPr>
          <w:rFonts w:ascii="Times New Roman" w:cs="Times New Roman" w:eastAsia="Times New Roman" w:hAnsi="Times New Roman"/>
          <w:sz w:val="22"/>
          <w:szCs w:val="22"/>
          <w:color w:val="auto"/>
        </w:rPr>
        <w:t>paragraph 6 below, for purposes of all calculations to be made under the Share Purchase Agreement (including, without limitation the “Adjusted EBITDA”, “Marketing Expenses” and “Dice and Domino Marketing Expenses”), Advertising Production Costs (as defined above), shall be recognized on an “As Aired Basis”. In the event of a failure to comply with the conditions and requirements of either paragraph 4 with respect to fiscal year 2025, or paragraph 6 below, the immediately preceding sentence shall be void ab initio.</w:t>
      </w:r>
    </w:p>
    <w:p>
      <w:pPr>
        <w:spacing w:after="0" w:line="177" w:lineRule="exact"/>
        <w:rPr>
          <w:sz w:val="20"/>
          <w:szCs w:val="20"/>
          <w:color w:val="auto"/>
        </w:rPr>
      </w:pPr>
    </w:p>
    <w:p>
      <w:pPr>
        <w:jc w:val="both"/>
        <w:ind w:left="450" w:right="40" w:hanging="450"/>
        <w:spacing w:after="0" w:line="289" w:lineRule="auto"/>
        <w:tabs>
          <w:tab w:leader="none" w:pos="44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aggregate amount of Advertising Production Costs incurred in the fourth quarter of the fiscal year 2025 exceeds Five Million Dollars (US$5,000,000) then all Advertising Production Costs shall be recognized on an “As Incurred Basis”.</w:t>
      </w:r>
    </w:p>
    <w:p>
      <w:pPr>
        <w:spacing w:after="0" w:line="166" w:lineRule="exact"/>
        <w:rPr>
          <w:rFonts w:ascii="Times New Roman" w:cs="Times New Roman" w:eastAsia="Times New Roman" w:hAnsi="Times New Roman"/>
          <w:sz w:val="22"/>
          <w:szCs w:val="22"/>
          <w:color w:val="auto"/>
        </w:rPr>
      </w:pPr>
    </w:p>
    <w:p>
      <w:pPr>
        <w:jc w:val="both"/>
        <w:ind w:left="450" w:right="40" w:hanging="450"/>
        <w:spacing w:after="0" w:line="276" w:lineRule="auto"/>
        <w:tabs>
          <w:tab w:leader="none" w:pos="44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acknowledged that, pursuant to the “As Aired Basis”, an amount of Three Million Three Hundred Fifty Six Thousand Two Hundred and Twenty Dollars (US $3,356,220) of Advertising Production Costs spent in the fiscal year 2024 in connection with marketing campaigns, as set forth on Schedule A attached hereto, would have been recognized in the fiscal year 2025. Notwithstanding the requirements under GAAP to apply the same recognition methodology to Advertising Production Costs spent within the same fiscal year, for the purposes of all calculations to be made under the Share Purchase Agreement with respect to the fiscal year 2025 (including without limitation the “Adjusted EBITDA”, “Marketing Expenses” and “Dice and Domino Marketing Expenses”), such $3,356,220 amount, as set forth on Schedule A attached hereto</w:t>
      </w:r>
      <w:r>
        <w:rPr>
          <w:rFonts w:ascii="Arial" w:cs="Arial" w:eastAsia="Arial" w:hAnsi="Arial"/>
          <w:sz w:val="14"/>
          <w:szCs w:val="14"/>
          <w:color w:val="auto"/>
        </w:rPr>
        <w:t>,</w:t>
      </w:r>
      <w:r>
        <w:rPr>
          <w:rFonts w:ascii="Times New Roman" w:cs="Times New Roman" w:eastAsia="Times New Roman" w:hAnsi="Times New Roman"/>
          <w:sz w:val="22"/>
          <w:szCs w:val="22"/>
          <w:color w:val="auto"/>
        </w:rPr>
        <w:t xml:space="preserve"> shall not be corrected to be recognized during the fiscal year 2025.</w:t>
      </w:r>
    </w:p>
    <w:p>
      <w:pPr>
        <w:spacing w:after="0" w:line="183" w:lineRule="exact"/>
        <w:rPr>
          <w:rFonts w:ascii="Times New Roman" w:cs="Times New Roman" w:eastAsia="Times New Roman" w:hAnsi="Times New Roman"/>
          <w:sz w:val="22"/>
          <w:szCs w:val="22"/>
          <w:color w:val="auto"/>
        </w:rPr>
      </w:pPr>
    </w:p>
    <w:p>
      <w:pPr>
        <w:jc w:val="both"/>
        <w:ind w:left="450" w:right="40" w:hanging="450"/>
        <w:spacing w:after="0" w:line="275" w:lineRule="auto"/>
        <w:tabs>
          <w:tab w:leader="none" w:pos="44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the Share Purchase Agreement (including as amended by this Amendment), all costs to be made by the Company that relate in any manner to external offline media productions shall be subject to the prior written approval of the Buyer’s Chief Accounting Officer, who shall review and confirm, at his sole discretion, that such costs constitute Advertising Production Costs. Such pre-approval must be obtained before the Company undertakes, commits to, or otherwise becomes obligated (whether by written agreement, oral commitment, purchase order, or any other means) to make any payment or expenditure in respect of any costs that relate in any manner to external offline media productions. Without derogating from the above, to the extent that such costs were not approved as Advertising Production Costs, the Company shall have the authority to incur such costs, and such costs will be recognized on an “As Incurred Basis”.</w:t>
      </w:r>
    </w:p>
    <w:p>
      <w:pPr>
        <w:spacing w:after="0" w:line="185" w:lineRule="exact"/>
        <w:rPr>
          <w:rFonts w:ascii="Times New Roman" w:cs="Times New Roman" w:eastAsia="Times New Roman" w:hAnsi="Times New Roman"/>
          <w:sz w:val="22"/>
          <w:szCs w:val="22"/>
          <w:color w:val="auto"/>
        </w:rPr>
      </w:pPr>
    </w:p>
    <w:p>
      <w:pPr>
        <w:jc w:val="both"/>
        <w:ind w:left="450" w:right="40" w:hanging="450"/>
        <w:spacing w:after="0" w:line="289" w:lineRule="auto"/>
        <w:tabs>
          <w:tab w:leader="none" w:pos="44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derogating from the terms of this Amendment, nothing in this Amendment shall be construed to require the Buyer or the Company to adopt or maintain any particular GAAP policy or accounting method for its audited financial statements or any other purpose.</w:t>
      </w:r>
    </w:p>
    <w:p>
      <w:pPr>
        <w:sectPr>
          <w:pgSz w:w="11900" w:h="16838" w:orient="portrait"/>
          <w:cols w:equalWidth="0" w:num="1">
            <w:col w:w="11070"/>
          </w:cols>
          <w:pgMar w:left="490" w:top="135" w:right="339" w:bottom="1440" w:gutter="0" w:footer="0" w:header="0"/>
        </w:sectPr>
      </w:pPr>
    </w:p>
    <w:bookmarkStart w:id="156" w:name="page157"/>
    <w:bookmarkEnd w:id="156"/>
    <w:p>
      <w:pPr>
        <w:ind w:left="9960"/>
        <w:spacing w:after="0"/>
        <w:rPr>
          <w:sz w:val="20"/>
          <w:szCs w:val="20"/>
          <w:color w:val="auto"/>
        </w:rPr>
      </w:pPr>
      <w:r>
        <w:rPr>
          <w:rFonts w:ascii="Times New Roman" w:cs="Times New Roman" w:eastAsia="Times New Roman" w:hAnsi="Times New Roman"/>
          <w:sz w:val="21"/>
          <w:szCs w:val="21"/>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Payment Procedure:</w:t>
      </w:r>
    </w:p>
    <w:p>
      <w:pPr>
        <w:spacing w:after="0" w:line="251" w:lineRule="exact"/>
        <w:rPr>
          <w:sz w:val="20"/>
          <w:szCs w:val="20"/>
          <w:color w:val="auto"/>
        </w:rPr>
      </w:pPr>
    </w:p>
    <w:p>
      <w:pPr>
        <w:ind w:right="1000" w:firstLine="170"/>
        <w:spacing w:after="0" w:line="480" w:lineRule="auto"/>
        <w:tabs>
          <w:tab w:leader="none" w:pos="60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2.7(k) of the Share Purchase Agreement shall be deleted in its entirety and replaced with the following: </w:t>
      </w:r>
      <w:r>
        <w:rPr>
          <w:rFonts w:ascii="Times New Roman" w:cs="Times New Roman" w:eastAsia="Times New Roman" w:hAnsi="Times New Roman"/>
          <w:sz w:val="22"/>
          <w:szCs w:val="22"/>
          <w:color w:val="0F4761"/>
        </w:rPr>
        <w:t>“</w:t>
      </w:r>
      <w:r>
        <w:rPr>
          <w:rFonts w:ascii="Times New Roman" w:cs="Times New Roman" w:eastAsia="Times New Roman" w:hAnsi="Times New Roman"/>
          <w:sz w:val="22"/>
          <w:szCs w:val="22"/>
          <w:u w:val="single" w:color="auto"/>
          <w:color w:val="000000"/>
        </w:rPr>
        <w:t>Earnout Reports and Payment of Earnout Consideration</w:t>
      </w:r>
      <w:r>
        <w:rPr>
          <w:rFonts w:ascii="Times New Roman" w:cs="Times New Roman" w:eastAsia="Times New Roman" w:hAnsi="Times New Roman"/>
          <w:sz w:val="22"/>
          <w:szCs w:val="22"/>
          <w:color w:val="000000"/>
        </w:rPr>
        <w:t>.</w:t>
      </w:r>
    </w:p>
    <w:p>
      <w:pPr>
        <w:spacing w:after="0" w:line="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2"/>
          <w:szCs w:val="22"/>
          <w:color w:val="auto"/>
        </w:rPr>
        <w:t>Within 90 days following the end of the First Year Earnout Period, the Second Year Earnout Period, and the Third Year Earnout Period as applicable Buyer shall deliver to Representative a report setting forth the Gross Revenue, Earnout Adjusted EBITDA and the Earnout Adjusted EBITDA Margin, of the Company for the First Year Earnout Period, the Second Year Earnout Period or the Third Year Earnout Period, as applicable and Buyer’s calculation of the Earnout Consideration (including for the avoidance of doubt, for the purpose of this Section 8, (a) addition of applicable Approved VAT; and (b) decrease of the Bankers Consideration and Bankers Escrow), due in respect of the applicable period (an “</w:t>
      </w:r>
      <w:r>
        <w:rPr>
          <w:rFonts w:ascii="Times New Roman" w:cs="Times New Roman" w:eastAsia="Times New Roman" w:hAnsi="Times New Roman"/>
          <w:sz w:val="22"/>
          <w:szCs w:val="22"/>
          <w:u w:val="single" w:color="auto"/>
          <w:color w:val="auto"/>
        </w:rPr>
        <w:t>Earnout Report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2"/>
          <w:szCs w:val="22"/>
          <w:color w:val="auto"/>
        </w:rPr>
        <w:t>If Earnout Consideration is due as reflected in the Earnout Report (such portion of the Earnout Consideration being referred to for purposes of this Section 2.7(k) as the “</w:t>
      </w:r>
      <w:r>
        <w:rPr>
          <w:rFonts w:ascii="Times New Roman" w:cs="Times New Roman" w:eastAsia="Times New Roman" w:hAnsi="Times New Roman"/>
          <w:sz w:val="22"/>
          <w:szCs w:val="22"/>
          <w:u w:val="single" w:color="auto"/>
          <w:color w:val="auto"/>
        </w:rPr>
        <w:t>Earnout Report Consideration</w:t>
      </w:r>
      <w:r>
        <w:rPr>
          <w:rFonts w:ascii="Times New Roman" w:cs="Times New Roman" w:eastAsia="Times New Roman" w:hAnsi="Times New Roman"/>
          <w:sz w:val="22"/>
          <w:szCs w:val="22"/>
          <w:color w:val="auto"/>
        </w:rPr>
        <w:t>”), then Buyer shall pay Company Securityholders the Earnout Report Consideration payable with respect to such period Fifteen (15) Business Days following the delivery of the Earnout Report, such payment to be made to an account designated by the Paying Agent (and Escrow Agent with respect to the payment of the applicable Retained Amounts) for distribution by the Paying Agent to Company Securityholders in accordance with the Allocation Statement and subject to the provisions of this Agreement and the Paying Agent Agreement. The payment of such amounts of cash to the Paying Agent or the Escrow Agent (as appliable) shall be deemed the discharge of Buyer’s obligation to pay such portion of the Earnout Consideration to Company Securityholders.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The Representative shall deliver, on or prior to the date that is thirty (30) days after its receipt the Earnout Report for the applicable Earnout Period (for purpose of this Section 2.7(k), the “</w:t>
      </w:r>
      <w:r>
        <w:rPr>
          <w:rFonts w:ascii="Times New Roman" w:cs="Times New Roman" w:eastAsia="Times New Roman" w:hAnsi="Times New Roman"/>
          <w:sz w:val="22"/>
          <w:szCs w:val="22"/>
          <w:u w:val="single" w:color="auto"/>
          <w:color w:val="auto"/>
        </w:rPr>
        <w:t>Objection Deadline Date</w:t>
      </w:r>
      <w:r>
        <w:rPr>
          <w:rFonts w:ascii="Times New Roman" w:cs="Times New Roman" w:eastAsia="Times New Roman" w:hAnsi="Times New Roman"/>
          <w:sz w:val="22"/>
          <w:szCs w:val="22"/>
          <w:color w:val="auto"/>
        </w:rPr>
        <w:t>”), a written notice indicating that either the Representative accepts the Earnout Report for such applicable Earnout Period (for purpose of this Section 2.7(k), the “</w:t>
      </w:r>
      <w:r>
        <w:rPr>
          <w:rFonts w:ascii="Times New Roman" w:cs="Times New Roman" w:eastAsia="Times New Roman" w:hAnsi="Times New Roman"/>
          <w:sz w:val="22"/>
          <w:szCs w:val="22"/>
          <w:u w:val="single" w:color="auto"/>
          <w:color w:val="auto"/>
        </w:rPr>
        <w:t>Acceptance Notice</w:t>
      </w:r>
      <w:r>
        <w:rPr>
          <w:rFonts w:ascii="Times New Roman" w:cs="Times New Roman" w:eastAsia="Times New Roman" w:hAnsi="Times New Roman"/>
          <w:sz w:val="22"/>
          <w:szCs w:val="22"/>
          <w:color w:val="auto"/>
        </w:rPr>
        <w:t>”) or a statement describing all objections to Earnout Report for such applicable Earnout Period (for purpose of this Section 2.7(k), the “</w:t>
      </w:r>
      <w:r>
        <w:rPr>
          <w:rFonts w:ascii="Times New Roman" w:cs="Times New Roman" w:eastAsia="Times New Roman" w:hAnsi="Times New Roman"/>
          <w:sz w:val="22"/>
          <w:szCs w:val="22"/>
          <w:u w:val="single" w:color="auto"/>
          <w:color w:val="auto"/>
        </w:rPr>
        <w:t>Objection Notice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5"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 xml:space="preserve">In the event that Representative timely provides an Objection Notice and disputes Buyer’s calculation of the Earnout Report Consideration, then the provisions of Sections 2.6(c)(i)-2.6(c)(v) above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such dispute (with the terms “Objection Deadline Date”, “Acceptance Notice” and “Objection Notice”, having the meaning ascribed to them under this Section 2.7(k) and with the term “Closing Statement” deemed to be replaced with the term “Earnout Report”). Any amount of the Earnout Consideration determined pursuant to Sections 2.6(c)(i)-2.6(c)(v) above (the “</w:t>
      </w:r>
      <w:r>
        <w:rPr>
          <w:rFonts w:ascii="Times New Roman" w:cs="Times New Roman" w:eastAsia="Times New Roman" w:hAnsi="Times New Roman"/>
          <w:sz w:val="22"/>
          <w:szCs w:val="22"/>
          <w:u w:val="single" w:color="auto"/>
          <w:color w:val="auto"/>
        </w:rPr>
        <w:t>Final Earnout Consideration</w:t>
      </w:r>
      <w:r>
        <w:rPr>
          <w:rFonts w:ascii="Times New Roman" w:cs="Times New Roman" w:eastAsia="Times New Roman" w:hAnsi="Times New Roman"/>
          <w:sz w:val="22"/>
          <w:szCs w:val="22"/>
          <w:color w:val="auto"/>
        </w:rPr>
        <w:t>”), that exceeds the Earnout Report Consideration, if any, shall be paid by the Buyer within Fifteen (15) Business Days following the final determination of the Final Earnout Consideration, pursuant to Sections 2.6(c)(i)-2.6(c)(v) above.</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In the event that the Buyer fails to pay any portion of the Earnout Consideration which became due and payable on the payment date set forth above (for the avoidance of doubt, with respect to any Earnout Consideration disputed by Representative under the Objection Notice in good faith, such payment date shall be 15 Business Days following the final determination of the Earnout Consideration pursuant to the provisions referenced above)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such unpaid portion of the Earnout Consideration shall bear an annual interest rate of 10% (increasing by 1.5% at the end of each 3-month period but up to a maximum annual interest rate of 16%) from the Payment Date until the payment of such portion of the Earnout Consideration (the “</w:t>
      </w:r>
      <w:r>
        <w:rPr>
          <w:rFonts w:ascii="Times New Roman" w:cs="Times New Roman" w:eastAsia="Times New Roman" w:hAnsi="Times New Roman"/>
          <w:sz w:val="22"/>
          <w:szCs w:val="22"/>
          <w:u w:val="single" w:color="auto"/>
          <w:color w:val="auto"/>
        </w:rPr>
        <w:t>Annual Interest</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The Annual Interest has been negotiated as additional penalty interest for Buyer’s failure to timely pay the Earnout Consideration. Nothing herein shall limit the remedies available to the Company Securityholders in respect of a failure by Buyer to timely pay the Earnout Consideration, and Company Securityholders shall be entitled to bring action to enforce this Agreement or seek full recovery of damages available under applicable Law (in addition to the Annual Interest).</w:t>
      </w:r>
      <w:r>
        <w:rPr>
          <w:rFonts w:ascii="Times New Roman" w:cs="Times New Roman" w:eastAsia="Times New Roman" w:hAnsi="Times New Roman"/>
          <w:sz w:val="22"/>
          <w:szCs w:val="22"/>
          <w:color w:val="0F4761"/>
        </w:rPr>
        <w:t>”</w:t>
      </w:r>
    </w:p>
    <w:p>
      <w:pPr>
        <w:spacing w:after="0" w:line="188" w:lineRule="exact"/>
        <w:rPr>
          <w:sz w:val="20"/>
          <w:szCs w:val="20"/>
          <w:color w:val="auto"/>
        </w:rPr>
      </w:pPr>
    </w:p>
    <w:p>
      <w:pPr>
        <w:ind w:left="620" w:right="40" w:hanging="450"/>
        <w:spacing w:after="0" w:line="296" w:lineRule="auto"/>
        <w:tabs>
          <w:tab w:leader="none" w:pos="61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removal of doubt, it is hereby clarified that, other than as specifically provided herein, the provisions of the Share Purchase Agreement shall remain in full force and effect.</w:t>
      </w:r>
    </w:p>
    <w:p>
      <w:pPr>
        <w:spacing w:after="0" w:line="158" w:lineRule="exact"/>
        <w:rPr>
          <w:rFonts w:ascii="Times New Roman" w:cs="Times New Roman" w:eastAsia="Times New Roman" w:hAnsi="Times New Roman"/>
          <w:sz w:val="22"/>
          <w:szCs w:val="22"/>
          <w:color w:val="auto"/>
        </w:rPr>
      </w:pPr>
    </w:p>
    <w:p>
      <w:pPr>
        <w:jc w:val="both"/>
        <w:ind w:left="620" w:right="40" w:hanging="450"/>
        <w:spacing w:after="0" w:line="282" w:lineRule="auto"/>
        <w:tabs>
          <w:tab w:leader="none" w:pos="61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shall be governed in all respects by the laws of the State of Israel, without regard for the conflict of law provisions thereof. The parties hereto irrevocably submit to the exclusive jurisdiction of any court of competent jurisdiction located within the district of Tel Aviv in respect of any dispute arising out of or in connection with this Third Amendment.</w:t>
      </w:r>
    </w:p>
    <w:p>
      <w:pPr>
        <w:spacing w:after="0" w:line="174" w:lineRule="exact"/>
        <w:rPr>
          <w:rFonts w:ascii="Times New Roman" w:cs="Times New Roman" w:eastAsia="Times New Roman" w:hAnsi="Times New Roman"/>
          <w:sz w:val="22"/>
          <w:szCs w:val="22"/>
          <w:color w:val="auto"/>
        </w:rPr>
      </w:pPr>
    </w:p>
    <w:p>
      <w:pPr>
        <w:ind w:left="620" w:right="40" w:hanging="450"/>
        <w:spacing w:after="0" w:line="296" w:lineRule="auto"/>
        <w:tabs>
          <w:tab w:leader="none" w:pos="60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Third Amendment may be executed in one or more counterparts, each of which shall be deemed to be an original, but all of which together shall constitute one and the same instrument.</w:t>
      </w:r>
    </w:p>
    <w:p>
      <w:pPr>
        <w:sectPr>
          <w:pgSz w:w="11900" w:h="16838" w:orient="portrait"/>
          <w:cols w:equalWidth="0" w:num="1">
            <w:col w:w="11240"/>
          </w:cols>
          <w:pgMar w:left="320" w:top="135"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ectPr>
          <w:pgSz w:w="11900" w:h="16838" w:orient="portrait"/>
          <w:cols w:equalWidth="0" w:num="1">
            <w:col w:w="10120"/>
          </w:cols>
          <w:pgMar w:left="1440" w:top="13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as of the date first written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PLAYTIKA LTD.</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2382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Craig Abrahams</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SUPERPLAY LTD.</w:t>
      </w:r>
    </w:p>
    <w:p>
      <w:pPr>
        <w:spacing w:after="0" w:line="200" w:lineRule="exact"/>
        <w:rPr>
          <w:sz w:val="20"/>
          <w:szCs w:val="20"/>
          <w:color w:val="auto"/>
        </w:rPr>
      </w:pPr>
    </w:p>
    <w:p>
      <w:pPr>
        <w:spacing w:after="0" w:line="263"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1696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Craig Abrahams</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REPRESENTATIVE</w:t>
      </w:r>
      <w:r>
        <w:rPr>
          <w:rFonts w:ascii="Times New Roman" w:cs="Times New Roman" w:eastAsia="Times New Roman" w:hAnsi="Times New Roman"/>
          <w:sz w:val="22"/>
          <w:szCs w:val="22"/>
          <w:b w:val="1"/>
          <w:bCs w:val="1"/>
          <w:color w:val="auto"/>
        </w:rPr>
        <w:t>:</w:t>
      </w:r>
    </w:p>
    <w:p>
      <w:pPr>
        <w:spacing w:after="0" w:line="25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GIGI LEVY-WEISS, as the Representative</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Gigi Levy-Weiss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-13970</wp:posOffset>
            </wp:positionV>
            <wp:extent cx="15049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150495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0" w:name="page161"/>
    <w:bookmarkEnd w:id="160"/>
    <w:p>
      <w:pPr>
        <w:ind w:left="10060"/>
        <w:spacing w:after="0"/>
        <w:rPr>
          <w:sz w:val="20"/>
          <w:szCs w:val="20"/>
          <w:color w:val="auto"/>
        </w:rPr>
      </w:pPr>
      <w:r>
        <w:rPr>
          <w:rFonts w:ascii="Times New Roman" w:cs="Times New Roman" w:eastAsia="Times New Roman" w:hAnsi="Times New Roman"/>
          <w:sz w:val="19"/>
          <w:szCs w:val="19"/>
          <w:b w:val="1"/>
          <w:bCs w:val="1"/>
          <w:color w:val="auto"/>
        </w:rPr>
        <w:t>Exhibit 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40575" cy="6254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714057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3780" w:type="dxa"/>
            <w:vAlign w:val="bottom"/>
          </w:tcPr>
          <w:p>
            <w:pPr>
              <w:ind w:left="1380"/>
              <w:spacing w:after="0"/>
              <w:rPr>
                <w:sz w:val="20"/>
                <w:szCs w:val="20"/>
                <w:color w:val="auto"/>
              </w:rPr>
            </w:pPr>
            <w:r>
              <w:rPr>
                <w:rFonts w:ascii="Times New Roman" w:cs="Times New Roman" w:eastAsia="Times New Roman" w:hAnsi="Times New Roman"/>
                <w:sz w:val="20"/>
                <w:szCs w:val="20"/>
                <w:i w:val="1"/>
                <w:iCs w:val="1"/>
                <w:color w:val="auto"/>
                <w:w w:val="96"/>
              </w:rPr>
              <w:t>###PARTICIPANT_NAME###</w:t>
            </w:r>
          </w:p>
        </w:tc>
        <w:tc>
          <w:tcPr>
            <w:tcW w:w="0" w:type="dxa"/>
            <w:vAlign w:val="bottom"/>
          </w:tcPr>
          <w:p>
            <w:pPr>
              <w:spacing w:after="0"/>
              <w:rPr>
                <w:sz w:val="1"/>
                <w:szCs w:val="1"/>
                <w:color w:val="auto"/>
              </w:rPr>
            </w:pPr>
          </w:p>
        </w:tc>
      </w:tr>
      <w:tr>
        <w:trPr>
          <w:trHeight w:val="499"/>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780" w:type="dxa"/>
            <w:vAlign w:val="bottom"/>
          </w:tcPr>
          <w:p>
            <w:pPr>
              <w:ind w:left="1380"/>
              <w:spacing w:after="0"/>
              <w:rPr>
                <w:sz w:val="20"/>
                <w:szCs w:val="20"/>
                <w:color w:val="auto"/>
              </w:rPr>
            </w:pPr>
            <w:r>
              <w:rPr>
                <w:rFonts w:ascii="Times New Roman" w:cs="Times New Roman" w:eastAsia="Times New Roman" w:hAnsi="Times New Roman"/>
                <w:sz w:val="20"/>
                <w:szCs w:val="20"/>
                <w:i w:val="1"/>
                <w:iCs w:val="1"/>
                <w:color w:val="auto"/>
              </w:rPr>
              <w:t>###GRANT_DATE###</w:t>
            </w:r>
          </w:p>
        </w:tc>
        <w:tc>
          <w:tcPr>
            <w:tcW w:w="0" w:type="dxa"/>
            <w:vAlign w:val="bottom"/>
          </w:tcPr>
          <w:p>
            <w:pPr>
              <w:spacing w:after="0"/>
              <w:rPr>
                <w:sz w:val="1"/>
                <w:szCs w:val="1"/>
                <w:color w:val="auto"/>
              </w:rPr>
            </w:pPr>
          </w:p>
        </w:tc>
      </w:tr>
      <w:tr>
        <w:trPr>
          <w:trHeight w:val="499"/>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3780" w:type="dxa"/>
            <w:vAlign w:val="bottom"/>
            <w:vMerge w:val="restart"/>
          </w:tcPr>
          <w:p>
            <w:pPr>
              <w:ind w:left="1380"/>
              <w:spacing w:after="0"/>
              <w:rPr>
                <w:sz w:val="20"/>
                <w:szCs w:val="20"/>
                <w:color w:val="auto"/>
              </w:rPr>
            </w:pPr>
            <w:r>
              <w:rPr>
                <w:rFonts w:ascii="Times New Roman" w:cs="Times New Roman" w:eastAsia="Times New Roman" w:hAnsi="Times New Roman"/>
                <w:sz w:val="20"/>
                <w:szCs w:val="20"/>
                <w:i w:val="1"/>
                <w:iCs w:val="1"/>
                <w:color w:val="auto"/>
              </w:rPr>
              <w:t>###TOTAL_AWARDS###</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i w:val="1"/>
          <w:iCs w:val="1"/>
          <w:color w:val="auto"/>
        </w:rPr>
        <w:t>###VEST_SCHEDULE_TABLE###</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|US-DOCS\120522282.4||</w:t>
      </w:r>
    </w:p>
    <w:p>
      <w:pPr>
        <w:sectPr>
          <w:pgSz w:w="11900" w:h="16838" w:orient="portrait"/>
          <w:cols w:equalWidth="0" w:num="1">
            <w:col w:w="11240"/>
          </w:cols>
          <w:pgMar w:left="320" w:top="114" w:right="339" w:bottom="1440" w:gutter="0" w:footer="0" w:header="0"/>
        </w:sectPr>
      </w:pPr>
    </w:p>
    <w:bookmarkStart w:id="161" w:name="page162"/>
    <w:bookmarkEnd w:id="161"/>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499"/>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460" w:type="dxa"/>
            <w:vAlign w:val="bottom"/>
          </w:tcPr>
          <w:p>
            <w:pPr>
              <w:spacing w:after="0"/>
              <w:rPr>
                <w:sz w:val="24"/>
                <w:szCs w:val="24"/>
                <w:color w:val="auto"/>
              </w:rPr>
            </w:pPr>
          </w:p>
        </w:tc>
      </w:tr>
      <w:tr>
        <w:trPr>
          <w:trHeight w:val="50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 Name:</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Print Name:</w:t>
            </w:r>
          </w:p>
        </w:tc>
      </w:tr>
      <w:tr>
        <w:trPr>
          <w:trHeight w:val="223"/>
        </w:trPr>
        <w:tc>
          <w:tcPr>
            <w:tcW w:w="14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r>
        <w:trPr>
          <w:trHeight w:val="256"/>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460" w:type="dxa"/>
            <w:vAlign w:val="bottom"/>
          </w:tcPr>
          <w:p>
            <w:pPr>
              <w:spacing w:after="0"/>
              <w:rPr>
                <w:sz w:val="22"/>
                <w:szCs w:val="22"/>
                <w:color w:val="auto"/>
              </w:rPr>
            </w:pPr>
          </w:p>
        </w:tc>
      </w:tr>
      <w:tr>
        <w:trPr>
          <w:trHeight w:val="223"/>
        </w:trPr>
        <w:tc>
          <w:tcPr>
            <w:tcW w:w="14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-325120</wp:posOffset>
            </wp:positionV>
            <wp:extent cx="26060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019"/>
          </w:cols>
          <w:pgMar w:left="440" w:top="1440"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 and Dividend Equivalents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RSUs have vested. Each vested portion of the RSU has a corresponding Dividend Equivalent as described in Article III.</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w:t>
      </w:r>
    </w:p>
    <w:p>
      <w:pPr>
        <w:jc w:val="both"/>
        <w:spacing w:after="0" w:line="204" w:lineRule="auto"/>
        <w:rPr>
          <w:sz w:val="20"/>
          <w:szCs w:val="20"/>
          <w:color w:val="auto"/>
        </w:rPr>
      </w:pPr>
      <w:r>
        <w:rPr>
          <w:rFonts w:ascii="Times New Roman" w:cs="Times New Roman" w:eastAsia="Times New Roman" w:hAnsi="Times New Roman"/>
          <w:sz w:val="20"/>
          <w:szCs w:val="20"/>
          <w:color w:val="auto"/>
        </w:rPr>
        <w:t>except that any fraction of an RSU that would otherwise be vested will be accumulated and will vest only when a whole RSU has accumulated. Except as provided in the Grant Notice, in the event of Participant’s Termination of Service for any reason, all unvested RSUs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and any unpaid Dividend Equivalents will immediately and automatically be cancelled and forfeited, except as otherwise determined by the Administrator or provided in a binding written agreement between Participant and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(including any RSUs credited as Dividend Equivalents) will be paid in Shares as soon as administratively practicable after the vesting of the applicable RSU, but in no event more than sixty days after the applicable vesting date. Neither the time nor form of distribution of Shares with respect to the RSUs may be changed, except as may be permitted by the Administrator in accordance with the Plan and Section 409A of the Code and the Treasury Regulations thereunder.</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time nor form of distribution of Shares with respect to the RSUs or the Dividend Equivalents may be changed, except as may be permitted by the Administrator in accordance with the Plan and Section 409A of the Code and the Treasury Regulations thereunder.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pacing w:after="0" w:line="18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Award of Dividend Equivalents</w:t>
      </w:r>
      <w:r>
        <w:rPr>
          <w:rFonts w:ascii="Times New Roman" w:cs="Times New Roman" w:eastAsia="Times New Roman" w:hAnsi="Times New Roman"/>
          <w:sz w:val="20"/>
          <w:szCs w:val="20"/>
          <w:color w:val="auto"/>
        </w:rPr>
        <w:t>. To the extent a portion of an RSU has vested, but such vested portion of such RSU has not yet settled pursuant to Section 2.2, such vested portion of such RSU granted hereunder is hereby granted in tandem with a corresponding Dividend Equivalent,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0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9"/>
          <w:szCs w:val="19"/>
          <w:color w:val="auto"/>
        </w:rPr>
        <w:t>Dividend Equivalent shall remain outstanding from such date of vesting until the earlier of the settlement or forfeiture of the RSU to which it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corresponds. Pursuant to each outstanding Dividend Equivalent, Participant shall be entitled to receive additional RSUs (or cash as set forth in Section 3.4) equal to the value of any dividends, if any, that Participant would have received in respect of the Share underlying the RSU to</w:t>
      </w:r>
    </w:p>
    <w:p>
      <w:pPr>
        <w:spacing w:after="0"/>
        <w:rPr>
          <w:sz w:val="20"/>
          <w:szCs w:val="20"/>
          <w:color w:val="auto"/>
        </w:rPr>
      </w:pPr>
      <w:r>
        <w:rPr>
          <w:rFonts w:ascii="Times New Roman" w:cs="Times New Roman" w:eastAsia="Times New Roman" w:hAnsi="Times New Roman"/>
          <w:sz w:val="20"/>
          <w:szCs w:val="20"/>
          <w:color w:val="auto"/>
        </w:rPr>
        <w:t>which such Dividend Equivalent relates, had such Share been outstanding on the applicable dividend record date.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RSUs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189" w:lineRule="exact"/>
        <w:rPr>
          <w:sz w:val="20"/>
          <w:szCs w:val="20"/>
          <w:color w:val="auto"/>
        </w:rPr>
      </w:pPr>
    </w:p>
    <w:p>
      <w:pPr>
        <w:jc w:val="both"/>
        <w:ind w:firstLine="1304"/>
        <w:spacing w:after="0" w:line="258" w:lineRule="auto"/>
        <w:tabs>
          <w:tab w:leader="none" w:pos="185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 or</w:t>
      </w:r>
    </w:p>
    <w:p>
      <w:pPr>
        <w:spacing w:after="0" w:line="19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w:t>
      </w:r>
    </w:p>
    <w:p>
      <w:pPr>
        <w:spacing w:after="0" w:line="18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RSUs Subject to Same Terms</w:t>
      </w:r>
      <w:r>
        <w:rPr>
          <w:rFonts w:ascii="Times New Roman" w:cs="Times New Roman" w:eastAsia="Times New Roman" w:hAnsi="Times New Roman"/>
          <w:sz w:val="20"/>
          <w:szCs w:val="20"/>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shall automatically be cancelled on such forfeiture date or settlement date.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Dividend Equivalent rights and any amounts that may become distributable in respect thereof shall be treated separately from the RSUs and the rights arising in connection therewith for purposes of the designation of time and form of payments required by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9" w:right="339" w:bottom="1440" w:gutter="0" w:footer="0" w:header="0"/>
        </w:sectPr>
      </w:pPr>
    </w:p>
    <w:bookmarkStart w:id="164" w:name="page165"/>
    <w:bookmarkEnd w:id="164"/>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p>
    <w:p>
      <w:pPr>
        <w:spacing w:after="0" w:line="189" w:lineRule="exact"/>
        <w:rPr>
          <w:sz w:val="20"/>
          <w:szCs w:val="20"/>
          <w:color w:val="auto"/>
        </w:rPr>
      </w:pPr>
    </w:p>
    <w:p>
      <w:pPr>
        <w:jc w:val="both"/>
        <w:ind w:firstLine="1304"/>
        <w:spacing w:after="0" w:line="231" w:lineRule="auto"/>
        <w:tabs>
          <w:tab w:leader="none" w:pos="193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the Dividend Equivalents, the distribution of the Shares issuable with respect thereto, or any other taxable event related to the RSUs or the Dividend Equivalents (the “</w:t>
      </w:r>
      <w:r>
        <w:rPr>
          <w:rFonts w:ascii="Times New Roman" w:cs="Times New Roman" w:eastAsia="Times New Roman" w:hAnsi="Times New Roman"/>
          <w:sz w:val="19"/>
          <w:szCs w:val="19"/>
          <w:b w:val="1"/>
          <w:bCs w:val="1"/>
          <w:i w:val="1"/>
          <w:iCs w:val="1"/>
          <w:color w:val="auto"/>
        </w:rPr>
        <w:t>Tax Withholding Obligation</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firstLine="1304"/>
        <w:spacing w:after="0" w:line="218"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Participant elects to satisfy the Tax Withholding Obligation by some other means in accordance with Section 9.5 of the Plan, Participant’s acceptance of this Award constitutes Participant’s instruction and authorization to the Company to, and the Company shall, with respect to the Tax Withholding Obligation arising as a result of the vesting or distribution of the RSUs (including additional RSUs granted pursuant to Section 3.2), withhold a net number of vested Shares otherwise issuable pursuant to the RSUs having a then-current Fair Market Value not exceeding the amount necessary to satisfy the Tax Withholding Obligation of the Company and its Related Entities with respect to the vesting or distribution of the RSUs.</w:t>
      </w:r>
    </w:p>
    <w:p>
      <w:pPr>
        <w:spacing w:after="0" w:line="15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20"/>
          <w:szCs w:val="20"/>
          <w:b w:val="1"/>
          <w:bCs w:val="1"/>
          <w:i w:val="1"/>
          <w:iCs w:val="1"/>
          <w:color w:val="auto"/>
        </w:rPr>
        <w:t>Applicable Tax Withholding Rate</w:t>
      </w:r>
      <w:r>
        <w:rPr>
          <w:rFonts w:ascii="Times New Roman" w:cs="Times New Roman" w:eastAsia="Times New Roman" w:hAnsi="Times New Roman"/>
          <w:sz w:val="20"/>
          <w:szCs w:val="20"/>
          <w:color w:val="auto"/>
        </w:rPr>
        <w:t xml:space="preserve">”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RSUs and Dividend Equivalents under generally accepted accounting principles.</w:t>
      </w:r>
    </w:p>
    <w:p>
      <w:pPr>
        <w:spacing w:after="0" w:line="165"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and the Dividend Equivalents, regardless of any action the Company or any Related Entity takes with respect to any Tax Withholding Obligations that arise in connection with the RSUs and the Dividend Equivalents. Neither the Company nor any Related Entity makes any representation or undertaking regarding the tax treatment to Participant in connection with the awarding, vesting or payment of the RSUs and the Dividend Equivalents or the subsequent sale of Shares. The Company and the Related Entities do not commit and are under no obligation to structure the RSUs and the Dividend Equivalents to reduce or eliminate Participant’s tax liability.</w:t>
      </w:r>
    </w:p>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 Without limiting the generality of any other provision hereof, Participant hereby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4" w:right="339" w:bottom="1440" w:gutter="0" w:footer="0" w:header="0"/>
        </w:sectPr>
      </w:pPr>
    </w:p>
    <w:bookmarkStart w:id="165" w:name="page166"/>
    <w:bookmarkEnd w:id="165"/>
    <w:p>
      <w:pPr>
        <w:ind w:right="20"/>
        <w:spacing w:after="0" w:line="245" w:lineRule="auto"/>
        <w:rPr>
          <w:sz w:val="20"/>
          <w:szCs w:val="20"/>
          <w:color w:val="auto"/>
        </w:rPr>
      </w:pPr>
      <w:r>
        <w:rPr>
          <w:rFonts w:ascii="Times New Roman" w:cs="Times New Roman" w:eastAsia="Times New Roman" w:hAnsi="Times New Roman"/>
          <w:sz w:val="20"/>
          <w:szCs w:val="20"/>
          <w:color w:val="auto"/>
        </w:rPr>
        <w:t>acknowledges that Section 10.8 (“</w:t>
      </w:r>
      <w:r>
        <w:rPr>
          <w:rFonts w:ascii="Times New Roman" w:cs="Times New Roman" w:eastAsia="Times New Roman" w:hAnsi="Times New Roman"/>
          <w:sz w:val="20"/>
          <w:szCs w:val="20"/>
          <w:i w:val="1"/>
          <w:iCs w:val="1"/>
          <w:color w:val="auto"/>
        </w:rPr>
        <w:t>Lock-Up Period</w:t>
      </w:r>
      <w:r>
        <w:rPr>
          <w:rFonts w:ascii="Times New Roman" w:cs="Times New Roman" w:eastAsia="Times New Roman" w:hAnsi="Times New Roman"/>
          <w:sz w:val="20"/>
          <w:szCs w:val="20"/>
          <w:color w:val="auto"/>
        </w:rPr>
        <w:t>”) of the Plan is expressly incorporated into this Agreement and are applicable to the Shares issued pursuant to this Agreement.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89" w:lineRule="exact"/>
        <w:rPr>
          <w:sz w:val="20"/>
          <w:szCs w:val="20"/>
          <w:color w:val="auto"/>
        </w:rPr>
      </w:pPr>
    </w:p>
    <w:p>
      <w:pPr>
        <w:jc w:val="both"/>
        <w:ind w:firstLine="1304"/>
        <w:spacing w:after="0" w:line="226"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5.2,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spacing w:after="0" w:line="204"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23"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spacing w:after="0" w:line="204"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when delivered by a nationally recognized express shipping company or upon receipt of a facsimile transmission confirmation.</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conform to Applicable Laws.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subject matter hereof , including without limitation, the provisions of any employment agreement or offer letter regarding equity awards to be awarded to Participant by the Company, or any other oral, implied or written promises, statements, understandings, undertakings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agreements by the Company or any of its representatives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auto"/>
        </w:rPr>
        <w:t>equity awards to be awarded to Participant by the Company. Participant hereby agrees to execute such further instruments and to take such</w:t>
      </w:r>
    </w:p>
    <w:p>
      <w:pPr>
        <w:jc w:val="both"/>
        <w:spacing w:after="0" w:line="233" w:lineRule="auto"/>
        <w:rPr>
          <w:sz w:val="20"/>
          <w:szCs w:val="20"/>
          <w:color w:val="auto"/>
        </w:rPr>
      </w:pPr>
      <w:r>
        <w:rPr>
          <w:rFonts w:ascii="Times New Roman" w:cs="Times New Roman" w:eastAsia="Times New Roman" w:hAnsi="Times New Roman"/>
          <w:sz w:val="19"/>
          <w:szCs w:val="19"/>
          <w:color w:val="auto"/>
        </w:rPr>
        <w:t>further action as the Company requests to carry out the purposes and intent of this Agreement and the Plan, including, without limitation, restrictions on the transferability of the Shares. This Agreement may be amended by the Company in accordance with Section 9.6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-27940</wp:posOffset>
            </wp:positionV>
            <wp:extent cx="31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215"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211" w:lineRule="auto"/>
        <w:rPr>
          <w:sz w:val="20"/>
          <w:szCs w:val="20"/>
          <w:color w:val="auto"/>
        </w:rPr>
      </w:pPr>
      <w:r>
        <w:rPr>
          <w:rFonts w:ascii="Times New Roman" w:cs="Times New Roman" w:eastAsia="Times New Roman" w:hAnsi="Times New Roman"/>
          <w:sz w:val="20"/>
          <w:szCs w:val="20"/>
          <w:color w:val="auto"/>
        </w:rPr>
        <w:t>creditor of the Company with respect to amounts credited and benefits payable, if any, with respect to the RSUs and the Dividend</w:t>
      </w:r>
    </w:p>
    <w:p>
      <w:pPr>
        <w:spacing w:after="0" w:line="221" w:lineRule="auto"/>
        <w:rPr>
          <w:sz w:val="20"/>
          <w:szCs w:val="20"/>
          <w:color w:val="auto"/>
        </w:rPr>
      </w:pPr>
      <w:r>
        <w:rPr>
          <w:rFonts w:ascii="Times New Roman" w:cs="Times New Roman" w:eastAsia="Times New Roman" w:hAnsi="Times New Roman"/>
          <w:sz w:val="20"/>
          <w:szCs w:val="20"/>
          <w:color w:val="auto"/>
        </w:rPr>
        <w:t>Equivalents, and rights no greater than the right to receive the Shares as a general unsecured creditor with respect to the RSUs and the Dividend Equivalents, as and when settled pursuant to the terms of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u w:val="single" w:color="auto"/>
          <w:color w:val="auto"/>
        </w:rPr>
        <w:t>Rights as a Stockholder</w:t>
      </w:r>
      <w:r>
        <w:rPr>
          <w:rFonts w:ascii="Times New Roman" w:cs="Times New Roman" w:eastAsia="Times New Roman" w:hAnsi="Times New Roman"/>
          <w:sz w:val="19"/>
          <w:szCs w:val="19"/>
          <w:color w:val="auto"/>
        </w:rPr>
        <w:t>. Neither Participant nor any person claiming under or through Participant will have any of the rights</w:t>
      </w:r>
    </w:p>
    <w:p>
      <w:pPr>
        <w:spacing w:after="0" w:line="204" w:lineRule="auto"/>
        <w:rPr>
          <w:sz w:val="20"/>
          <w:szCs w:val="20"/>
          <w:color w:val="auto"/>
        </w:rPr>
      </w:pPr>
      <w:r>
        <w:rPr>
          <w:rFonts w:ascii="Times New Roman" w:cs="Times New Roman" w:eastAsia="Times New Roman" w:hAnsi="Times New Roman"/>
          <w:sz w:val="20"/>
          <w:szCs w:val="20"/>
          <w:color w:val="auto"/>
        </w:rPr>
        <w:t>or privileges of a stockholder of the Company in respect of any Shares deliverable hereunder unless and until certificates representing such Shares (which may be in book-entry form) will have been issued and recorded on the records of the Company or its transfer agents or</w:t>
      </w:r>
    </w:p>
    <w:p>
      <w:pPr>
        <w:spacing w:after="0" w:line="211" w:lineRule="auto"/>
        <w:rPr>
          <w:sz w:val="20"/>
          <w:szCs w:val="20"/>
          <w:color w:val="auto"/>
        </w:rPr>
      </w:pPr>
      <w:r>
        <w:rPr>
          <w:rFonts w:ascii="Times New Roman" w:cs="Times New Roman" w:eastAsia="Times New Roman" w:hAnsi="Times New Roman"/>
          <w:sz w:val="20"/>
          <w:szCs w:val="20"/>
          <w:color w:val="auto"/>
        </w:rPr>
        <w:t>registrars, and delivered to Participant (including through electronic delivery to a brokerage account). Except as otherwise provided herein,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after such issuance, recordation and delivery, Participant will have all the rights of a stockholder of the Company with respect to such Shares, including, without limitation, the right to receipt of dividends and distributions on such Shares. The issuance of Shares under this Award to</w:t>
      </w:r>
    </w:p>
    <w:p>
      <w:pPr>
        <w:spacing w:after="0"/>
        <w:rPr>
          <w:sz w:val="20"/>
          <w:szCs w:val="20"/>
          <w:color w:val="auto"/>
        </w:rPr>
      </w:pPr>
      <w:r>
        <w:rPr>
          <w:rFonts w:ascii="Times New Roman" w:cs="Times New Roman" w:eastAsia="Times New Roman" w:hAnsi="Times New Roman"/>
          <w:sz w:val="20"/>
          <w:szCs w:val="20"/>
          <w:color w:val="auto"/>
        </w:rPr>
        <w:t>Participant shall be subject to Participant’s satisfaction of the conditions under Section 10.14 of the Plan.</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Related Entity or interferes with or restricts in any way the rights of the Company</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and its Related Entities, which rights are hereby expressly reserved, to discharge or terminate the services of Participant at any time for any reason whatsoever, with or without Cause, except to the extent expressly provided otherwise in a written agreement between the Company or</w:t>
      </w:r>
    </w:p>
    <w:p>
      <w:pPr>
        <w:spacing w:after="0"/>
        <w:rPr>
          <w:sz w:val="20"/>
          <w:szCs w:val="20"/>
          <w:color w:val="auto"/>
        </w:rPr>
      </w:pPr>
      <w:r>
        <w:rPr>
          <w:rFonts w:ascii="Times New Roman" w:cs="Times New Roman" w:eastAsia="Times New Roman" w:hAnsi="Times New Roman"/>
          <w:sz w:val="20"/>
          <w:szCs w:val="20"/>
          <w:color w:val="auto"/>
        </w:rPr>
        <w:t>a Related Entity and Participant.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864"/>
        <w:spacing w:after="0" w:line="251" w:lineRule="auto"/>
        <w:tabs>
          <w:tab w:leader="none" w:pos="128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92" w:lineRule="exact"/>
        <w:rPr>
          <w:rFonts w:ascii="Times New Roman" w:cs="Times New Roman" w:eastAsia="Times New Roman" w:hAnsi="Times New Roman"/>
          <w:sz w:val="20"/>
          <w:szCs w:val="20"/>
          <w:color w:val="auto"/>
        </w:rPr>
      </w:pPr>
    </w:p>
    <w:p>
      <w:pPr>
        <w:jc w:val="both"/>
        <w:ind w:firstLine="895"/>
        <w:spacing w:after="0" w:line="261" w:lineRule="auto"/>
        <w:tabs>
          <w:tab w:leader="none" w:pos="135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not intended to provide for any deferral of compensation subject to Section 409A, and, accordingly, the Shares issuable pursuant to the RSUs (including RSUs credited as Dividend Equivalents) shall be distributed to Participant, and any payments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4" w:right="339" w:bottom="1440" w:gutter="0" w:footer="0" w:header="0"/>
        </w:sectPr>
      </w:pPr>
    </w:p>
    <w:bookmarkStart w:id="167" w:name="page168"/>
    <w:bookmarkEnd w:id="167"/>
    <w:p>
      <w:pPr>
        <w:jc w:val="both"/>
        <w:spacing w:after="0" w:line="225" w:lineRule="auto"/>
        <w:rPr>
          <w:sz w:val="20"/>
          <w:szCs w:val="20"/>
          <w:color w:val="auto"/>
        </w:rPr>
      </w:pPr>
      <w:r>
        <w:rPr>
          <w:rFonts w:ascii="Times New Roman" w:cs="Times New Roman" w:eastAsia="Times New Roman" w:hAnsi="Times New Roman"/>
          <w:sz w:val="20"/>
          <w:szCs w:val="20"/>
          <w:color w:val="auto"/>
        </w:rPr>
        <w:t>Dividend Equivalents shall be paid to Participant, no later than the later of: (A)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Participant’s first taxable year in which such RSUs and/or Dividend Equivalents, as applicable, are no longer subject to a substantial risk of forfeiture, and (B)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first taxable year of the Company in which such RSUs and/or Dividend Equivalents, as applicable, are no longer subject to substantial risk of forfeiture, as determined in accordance with Section 409A.</w:t>
      </w:r>
    </w:p>
    <w:p>
      <w:pPr>
        <w:spacing w:after="0" w:line="191" w:lineRule="exact"/>
        <w:rPr>
          <w:sz w:val="20"/>
          <w:szCs w:val="20"/>
          <w:color w:val="auto"/>
        </w:rPr>
      </w:pPr>
    </w:p>
    <w:p>
      <w:pPr>
        <w:ind w:firstLine="915"/>
        <w:spacing w:after="0" w:line="283" w:lineRule="auto"/>
        <w:tabs>
          <w:tab w:leader="none" w:pos="13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409A (including, without limitation, for purposes of Treasury Regulation Section 1.409A-2(b)(2) (iii)), each payment that Participant may be eligible to receive under this Agreement shall be treated as a separate and distinct payment.</w:t>
      </w:r>
    </w:p>
    <w:p>
      <w:pPr>
        <w:spacing w:after="0" w:line="146"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5.15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provisions of the Plan and all Awards made thereunder, including the RSUs and the Dividend Equivalents, shall be governed by and interpreted in accordance with the laws of the State of Delaware, disregarding choice-of-law principles</w:t>
      </w:r>
    </w:p>
    <w:p>
      <w:pPr>
        <w:spacing w:after="0"/>
        <w:rPr>
          <w:sz w:val="20"/>
          <w:szCs w:val="20"/>
          <w:color w:val="auto"/>
        </w:rPr>
      </w:pPr>
      <w:r>
        <w:rPr>
          <w:rFonts w:ascii="Times New Roman" w:cs="Times New Roman" w:eastAsia="Times New Roman" w:hAnsi="Times New Roman"/>
          <w:sz w:val="20"/>
          <w:szCs w:val="20"/>
          <w:color w:val="auto"/>
        </w:rPr>
        <w:t>of the law of any state that would require the application of the laws of a jurisdiction other than such state.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5.16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w:t>
      </w:r>
    </w:p>
    <w:p>
      <w:pPr>
        <w:spacing w:after="0" w:line="212" w:lineRule="auto"/>
        <w:rPr>
          <w:sz w:val="20"/>
          <w:szCs w:val="20"/>
          <w:color w:val="auto"/>
        </w:rPr>
      </w:pPr>
      <w:r>
        <w:rPr>
          <w:rFonts w:ascii="Times New Roman" w:cs="Times New Roman" w:eastAsia="Times New Roman" w:hAnsi="Times New Roman"/>
          <w:sz w:val="20"/>
          <w:szCs w:val="20"/>
          <w:color w:val="auto"/>
        </w:rPr>
        <w:t>additional limitations set forth in any applicable exemptive rule under Section 16 of the Exchange Act (including any amendment to Rule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13" w:right="339" w:bottom="1440" w:gutter="0" w:footer="0" w:header="0"/>
        </w:sectPr>
      </w:pPr>
    </w:p>
    <w:bookmarkStart w:id="168" w:name="page169"/>
    <w:bookmarkEnd w:id="168"/>
    <w:p>
      <w:pPr>
        <w:ind w:left="10060"/>
        <w:spacing w:after="0"/>
        <w:rPr>
          <w:sz w:val="20"/>
          <w:szCs w:val="20"/>
          <w:color w:val="auto"/>
        </w:rPr>
      </w:pPr>
      <w:r>
        <w:rPr>
          <w:rFonts w:ascii="Times New Roman" w:cs="Times New Roman" w:eastAsia="Times New Roman" w:hAnsi="Times New Roman"/>
          <w:sz w:val="19"/>
          <w:szCs w:val="19"/>
          <w:b w:val="1"/>
          <w:bCs w:val="1"/>
          <w:color w:val="auto"/>
        </w:rPr>
        <w:t>Exhibit 10.6.3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40575" cy="6254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714057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180" w:type="dxa"/>
            <w:vAlign w:val="bottom"/>
          </w:tcPr>
          <w:p>
            <w:pPr>
              <w:ind w:left="880"/>
              <w:spacing w:after="0"/>
              <w:rPr>
                <w:sz w:val="20"/>
                <w:szCs w:val="20"/>
                <w:color w:val="auto"/>
              </w:rPr>
            </w:pPr>
            <w:r>
              <w:rPr>
                <w:rFonts w:ascii="Times New Roman" w:cs="Times New Roman" w:eastAsia="Times New Roman" w:hAnsi="Times New Roman"/>
                <w:sz w:val="20"/>
                <w:szCs w:val="20"/>
                <w:i w:val="1"/>
                <w:iCs w:val="1"/>
                <w:color w:val="auto"/>
              </w:rPr>
              <w:t>[Insert Participant Name]</w:t>
            </w:r>
          </w:p>
        </w:tc>
        <w:tc>
          <w:tcPr>
            <w:tcW w:w="0" w:type="dxa"/>
            <w:vAlign w:val="bottom"/>
          </w:tcPr>
          <w:p>
            <w:pPr>
              <w:spacing w:after="0"/>
              <w:rPr>
                <w:sz w:val="1"/>
                <w:szCs w:val="1"/>
                <w:color w:val="auto"/>
              </w:rPr>
            </w:pP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180" w:type="dxa"/>
            <w:vAlign w:val="bottom"/>
          </w:tcPr>
          <w:p>
            <w:pPr>
              <w:ind w:left="880"/>
              <w:spacing w:after="0"/>
              <w:rPr>
                <w:sz w:val="20"/>
                <w:szCs w:val="20"/>
                <w:color w:val="auto"/>
              </w:rPr>
            </w:pPr>
            <w:r>
              <w:rPr>
                <w:rFonts w:ascii="Times New Roman" w:cs="Times New Roman" w:eastAsia="Times New Roman" w:hAnsi="Times New Roman"/>
                <w:sz w:val="20"/>
                <w:szCs w:val="20"/>
                <w:i w:val="1"/>
                <w:iCs w:val="1"/>
                <w:color w:val="auto"/>
              </w:rPr>
              <w:t>[Insert Grant Date]</w:t>
            </w:r>
          </w:p>
        </w:tc>
        <w:tc>
          <w:tcPr>
            <w:tcW w:w="0" w:type="dxa"/>
            <w:vAlign w:val="bottom"/>
          </w:tcPr>
          <w:p>
            <w:pPr>
              <w:spacing w:after="0"/>
              <w:rPr>
                <w:sz w:val="1"/>
                <w:szCs w:val="1"/>
                <w:color w:val="auto"/>
              </w:rPr>
            </w:pPr>
          </w:p>
        </w:tc>
      </w:tr>
      <w:tr>
        <w:trPr>
          <w:trHeight w:val="500"/>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4180" w:type="dxa"/>
            <w:vAlign w:val="bottom"/>
            <w:vMerge w:val="restart"/>
          </w:tcPr>
          <w:p>
            <w:pPr>
              <w:ind w:left="880"/>
              <w:spacing w:after="0"/>
              <w:rPr>
                <w:sz w:val="20"/>
                <w:szCs w:val="20"/>
                <w:color w:val="auto"/>
              </w:rPr>
            </w:pPr>
            <w:r>
              <w:rPr>
                <w:rFonts w:ascii="Times New Roman" w:cs="Times New Roman" w:eastAsia="Times New Roman" w:hAnsi="Times New Roman"/>
                <w:sz w:val="20"/>
                <w:szCs w:val="20"/>
                <w:i w:val="1"/>
                <w:iCs w:val="1"/>
                <w:color w:val="auto"/>
              </w:rPr>
              <w:t>[Insert Number of RSUs]</w:t>
            </w:r>
          </w:p>
        </w:tc>
        <w:tc>
          <w:tcPr>
            <w:tcW w:w="0" w:type="dxa"/>
            <w:vAlign w:val="bottom"/>
          </w:tcPr>
          <w:p>
            <w:pPr>
              <w:spacing w:after="0"/>
              <w:rPr>
                <w:sz w:val="1"/>
                <w:szCs w:val="1"/>
                <w:color w:val="auto"/>
              </w:rPr>
            </w:pPr>
          </w:p>
        </w:tc>
      </w:tr>
      <w:tr>
        <w:trPr>
          <w:trHeight w:val="81"/>
        </w:trPr>
        <w:tc>
          <w:tcPr>
            <w:tcW w:w="3380" w:type="dxa"/>
            <w:vAlign w:val="bottom"/>
          </w:tcPr>
          <w:p>
            <w:pPr>
              <w:spacing w:after="0"/>
              <w:rPr>
                <w:sz w:val="7"/>
                <w:szCs w:val="7"/>
                <w:color w:val="auto"/>
              </w:rPr>
            </w:pPr>
          </w:p>
        </w:tc>
        <w:tc>
          <w:tcPr>
            <w:tcW w:w="4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4180" w:type="dxa"/>
            <w:vAlign w:val="bottom"/>
          </w:tcPr>
          <w:p>
            <w:pPr>
              <w:ind w:left="840"/>
              <w:spacing w:after="0"/>
              <w:rPr>
                <w:sz w:val="20"/>
                <w:szCs w:val="20"/>
                <w:color w:val="auto"/>
              </w:rPr>
            </w:pPr>
            <w:r>
              <w:rPr>
                <w:rFonts w:ascii="Times New Roman" w:cs="Times New Roman" w:eastAsia="Times New Roman" w:hAnsi="Times New Roman"/>
                <w:sz w:val="20"/>
                <w:szCs w:val="20"/>
                <w:i w:val="1"/>
                <w:iCs w:val="1"/>
                <w:color w:val="auto"/>
              </w:rPr>
              <w:t>[Insert Vesting Commencement Date]</w:t>
            </w:r>
          </w:p>
        </w:tc>
        <w:tc>
          <w:tcPr>
            <w:tcW w:w="0" w:type="dxa"/>
            <w:vAlign w:val="bottom"/>
          </w:tcPr>
          <w:p>
            <w:pPr>
              <w:spacing w:after="0"/>
              <w:rPr>
                <w:sz w:val="1"/>
                <w:szCs w:val="1"/>
                <w:color w:val="auto"/>
              </w:rPr>
            </w:pP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4180" w:type="dxa"/>
            <w:vAlign w:val="bottom"/>
          </w:tcPr>
          <w:p>
            <w:pPr>
              <w:ind w:left="840"/>
              <w:spacing w:after="0"/>
              <w:rPr>
                <w:sz w:val="20"/>
                <w:szCs w:val="20"/>
                <w:color w:val="auto"/>
              </w:rPr>
            </w:pPr>
            <w:r>
              <w:rPr>
                <w:rFonts w:ascii="Times New Roman" w:cs="Times New Roman" w:eastAsia="Times New Roman" w:hAnsi="Times New Roman"/>
                <w:sz w:val="20"/>
                <w:szCs w:val="20"/>
                <w:i w:val="1"/>
                <w:iCs w:val="1"/>
                <w:color w:val="auto"/>
                <w:w w:val="97"/>
              </w:rPr>
              <w:t>[To be specified in individual agreements]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4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480"/>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-8255</wp:posOffset>
            </wp:positionV>
            <wp:extent cx="1257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|US-DOCS\156144419.2||</w:t>
      </w:r>
    </w:p>
    <w:p>
      <w:pPr>
        <w:sectPr>
          <w:pgSz w:w="11900" w:h="16838" w:orient="portrait"/>
          <w:cols w:equalWidth="0" w:num="1">
            <w:col w:w="11240"/>
          </w:cols>
          <w:pgMar w:left="320" w:top="114" w:right="339" w:bottom="1440" w:gutter="0" w:footer="0" w:header="0"/>
          <w:type w:val="continuous"/>
        </w:sectPr>
      </w:pPr>
    </w:p>
    <w:bookmarkStart w:id="169" w:name="page170"/>
    <w:bookmarkEnd w:id="169"/>
    <w:p>
      <w:pPr>
        <w:spacing w:after="0" w:line="41"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5715</wp:posOffset>
            </wp:positionV>
            <wp:extent cx="1257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5715</wp:posOffset>
            </wp:positionV>
            <wp:extent cx="1257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5715</wp:posOffset>
            </wp:positionV>
            <wp:extent cx="12573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019"/>
          </w:cols>
          <w:pgMar w:left="440" w:top="1440" w:right="1440"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 and Dividend Equivalents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RSUs have vested. Each vested portion of the RSU has a corresponding Dividend Equivalent as described in Article III.</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w:t>
      </w:r>
    </w:p>
    <w:p>
      <w:pPr>
        <w:jc w:val="both"/>
        <w:spacing w:after="0" w:line="204" w:lineRule="auto"/>
        <w:rPr>
          <w:sz w:val="20"/>
          <w:szCs w:val="20"/>
          <w:color w:val="auto"/>
        </w:rPr>
      </w:pPr>
      <w:r>
        <w:rPr>
          <w:rFonts w:ascii="Times New Roman" w:cs="Times New Roman" w:eastAsia="Times New Roman" w:hAnsi="Times New Roman"/>
          <w:sz w:val="20"/>
          <w:szCs w:val="20"/>
          <w:color w:val="auto"/>
        </w:rPr>
        <w:t>except that any fraction of an RSU that would otherwise be vested will be accumulated and will vest only when a whole RSU has accumulated. Except as provided in the Grant Notice, in the event of Participant’s Termination of Service for any reason, all unvested RSUs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and any unpaid Dividend Equivalents will immediately and automatically be cancelled and forfeited, except as otherwise determined by the Administrator or provided in a binding written agreement between Participant and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(including any RSUs credited as Dividend Equivalents) will be paid in Shares as soon as administratively practicable after the vesting of the applicable RSU, but in no event more than sixty days after the applicable vesting date. Neither the time nor form of distribution of Shares with respect to the RSUs may be changed, except as may be permitted by the Administrator in accordance with the Plan and Section 409A of the Code and the Treasury Regulations thereunder.</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time nor form of distribution of Shares with respect to the RSUs or the Dividend Equivalents may be changed, except as may be permitted by the Administrator in accordance with the Plan and Section 409A of the Code and the Treasury Regulations thereunder.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pacing w:after="0" w:line="18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Award of Dividend Equivalents</w:t>
      </w:r>
      <w:r>
        <w:rPr>
          <w:rFonts w:ascii="Times New Roman" w:cs="Times New Roman" w:eastAsia="Times New Roman" w:hAnsi="Times New Roman"/>
          <w:sz w:val="20"/>
          <w:szCs w:val="20"/>
          <w:color w:val="auto"/>
        </w:rPr>
        <w:t>. To the extent a portion of an RSU has vested, but such vested portion of such RSU has not yet settled pursuant to Section 2.2, such vested portion of such RSU granted hereunder is hereby granted in tandem with a corresponding Dividend Equivalent,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0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9"/>
          <w:szCs w:val="19"/>
          <w:color w:val="auto"/>
        </w:rPr>
        <w:t>Dividend Equivalent shall remain outstanding from such date of vesting until the earlier of the settlement or forfeiture of the RSU to which it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corresponds. Pursuant to each outstanding Dividend Equivalent, Participant shall be entitled to receive additional RSUs (or cash as set forth in Section 3.4) equal to the value of any dividends, if any, that Participant would have received in respect of the Share underlying the RSU to</w:t>
      </w:r>
    </w:p>
    <w:p>
      <w:pPr>
        <w:spacing w:after="0"/>
        <w:rPr>
          <w:sz w:val="20"/>
          <w:szCs w:val="20"/>
          <w:color w:val="auto"/>
        </w:rPr>
      </w:pPr>
      <w:r>
        <w:rPr>
          <w:rFonts w:ascii="Times New Roman" w:cs="Times New Roman" w:eastAsia="Times New Roman" w:hAnsi="Times New Roman"/>
          <w:sz w:val="20"/>
          <w:szCs w:val="20"/>
          <w:color w:val="auto"/>
        </w:rPr>
        <w:t>which such Dividend Equivalent relates, had such Share been outstanding on the applicable dividend record date.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RSUs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189" w:lineRule="exact"/>
        <w:rPr>
          <w:sz w:val="20"/>
          <w:szCs w:val="20"/>
          <w:color w:val="auto"/>
        </w:rPr>
      </w:pPr>
    </w:p>
    <w:p>
      <w:pPr>
        <w:jc w:val="both"/>
        <w:ind w:firstLine="1304"/>
        <w:spacing w:after="0" w:line="258" w:lineRule="auto"/>
        <w:tabs>
          <w:tab w:leader="none" w:pos="185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 or</w:t>
      </w:r>
    </w:p>
    <w:p>
      <w:pPr>
        <w:spacing w:after="0" w:line="19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w:t>
      </w:r>
    </w:p>
    <w:p>
      <w:pPr>
        <w:spacing w:after="0" w:line="18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RSUs Subject to Same Terms</w:t>
      </w:r>
      <w:r>
        <w:rPr>
          <w:rFonts w:ascii="Times New Roman" w:cs="Times New Roman" w:eastAsia="Times New Roman" w:hAnsi="Times New Roman"/>
          <w:sz w:val="20"/>
          <w:szCs w:val="20"/>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shall automatically be cancelled on such forfeiture date or settlement date.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Dividend Equivalent rights and any amounts that may become distributable in respect thereof shall be treated separately from the RSUs and the rights arising in connection therewith for purposes of the designation of time and form of payments required by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9" w:right="339" w:bottom="1440" w:gutter="0" w:footer="0" w:header="0"/>
        </w:sectPr>
      </w:pPr>
    </w:p>
    <w:bookmarkStart w:id="172" w:name="page173"/>
    <w:bookmarkEnd w:id="172"/>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p>
    <w:p>
      <w:pPr>
        <w:spacing w:after="0" w:line="189" w:lineRule="exact"/>
        <w:rPr>
          <w:sz w:val="20"/>
          <w:szCs w:val="20"/>
          <w:color w:val="auto"/>
        </w:rPr>
      </w:pPr>
    </w:p>
    <w:p>
      <w:pPr>
        <w:jc w:val="both"/>
        <w:ind w:firstLine="1304"/>
        <w:spacing w:after="0" w:line="231" w:lineRule="auto"/>
        <w:tabs>
          <w:tab w:leader="none" w:pos="193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the Dividend Equivalents, the distribution of the Shares issuable with respect thereto, or any other taxable event related to the RSUs or the Dividend Equivalents (the “</w:t>
      </w:r>
      <w:r>
        <w:rPr>
          <w:rFonts w:ascii="Times New Roman" w:cs="Times New Roman" w:eastAsia="Times New Roman" w:hAnsi="Times New Roman"/>
          <w:sz w:val="19"/>
          <w:szCs w:val="19"/>
          <w:b w:val="1"/>
          <w:bCs w:val="1"/>
          <w:i w:val="1"/>
          <w:iCs w:val="1"/>
          <w:color w:val="auto"/>
        </w:rPr>
        <w:t>Tax Withholding Obligation</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firstLine="1304"/>
        <w:spacing w:after="0" w:line="218"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Participant elects to satisfy the Tax Withholding Obligation by some other means in accordance with Section 9.5 of the Plan, Participant’s acceptance of this Award constitutes Participant’s instruction and authorization to the Company to, and the Company shall, with respect to the Tax Withholding Obligation arising as a result of the vesting or distribution of the RSUs (including additional RSUs granted pursuant to Section 3.2), withhold a net number of vested Shares otherwise issuable pursuant to the RSUs having a then-current Fair Market Value not exceeding the amount necessary to satisfy the Tax Withholding Obligation of the Company and its Related Entities with respect to the vesting or distribution of the RSUs.</w:t>
      </w:r>
    </w:p>
    <w:p>
      <w:pPr>
        <w:spacing w:after="0" w:line="15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20"/>
          <w:szCs w:val="20"/>
          <w:b w:val="1"/>
          <w:bCs w:val="1"/>
          <w:i w:val="1"/>
          <w:iCs w:val="1"/>
          <w:color w:val="auto"/>
        </w:rPr>
        <w:t>Applicable Tax Withholding Rate</w:t>
      </w:r>
      <w:r>
        <w:rPr>
          <w:rFonts w:ascii="Times New Roman" w:cs="Times New Roman" w:eastAsia="Times New Roman" w:hAnsi="Times New Roman"/>
          <w:sz w:val="20"/>
          <w:szCs w:val="20"/>
          <w:color w:val="auto"/>
        </w:rPr>
        <w:t xml:space="preserve">”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RSUs and Dividend Equivalents under generally accepted accounting principles.</w:t>
      </w:r>
    </w:p>
    <w:p>
      <w:pPr>
        <w:spacing w:after="0" w:line="165"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and the Dividend Equivalents, regardless of any action the Company or any Related Entity takes with respect to any Tax Withholding Obligations that arise in connection with the RSUs and the Dividend Equivalents. Neither the Company nor any Related Entity makes any representation or undertaking regarding the tax treatment to Participant in connection with the awarding, vesting or payment of the RSUs and the Dividend Equivalents or the subsequent sale of Shares. The Company and the Related Entities do not commit and are under no obligation to structure the RSUs and the Dividend Equivalents to reduce or eliminate Participant’s tax liability.</w:t>
      </w:r>
    </w:p>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 Without limiting the generality of any other provision hereof, Participant hereby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4" w:right="339" w:bottom="1440" w:gutter="0" w:footer="0" w:header="0"/>
        </w:sectPr>
      </w:pPr>
    </w:p>
    <w:bookmarkStart w:id="173" w:name="page174"/>
    <w:bookmarkEnd w:id="173"/>
    <w:p>
      <w:pPr>
        <w:ind w:right="20"/>
        <w:spacing w:after="0" w:line="245" w:lineRule="auto"/>
        <w:rPr>
          <w:sz w:val="20"/>
          <w:szCs w:val="20"/>
          <w:color w:val="auto"/>
        </w:rPr>
      </w:pPr>
      <w:r>
        <w:rPr>
          <w:rFonts w:ascii="Times New Roman" w:cs="Times New Roman" w:eastAsia="Times New Roman" w:hAnsi="Times New Roman"/>
          <w:sz w:val="20"/>
          <w:szCs w:val="20"/>
          <w:color w:val="auto"/>
        </w:rPr>
        <w:t>acknowledges that Section 10.8 (“</w:t>
      </w:r>
      <w:r>
        <w:rPr>
          <w:rFonts w:ascii="Times New Roman" w:cs="Times New Roman" w:eastAsia="Times New Roman" w:hAnsi="Times New Roman"/>
          <w:sz w:val="20"/>
          <w:szCs w:val="20"/>
          <w:i w:val="1"/>
          <w:iCs w:val="1"/>
          <w:color w:val="auto"/>
        </w:rPr>
        <w:t>Lock-Up Period</w:t>
      </w:r>
      <w:r>
        <w:rPr>
          <w:rFonts w:ascii="Times New Roman" w:cs="Times New Roman" w:eastAsia="Times New Roman" w:hAnsi="Times New Roman"/>
          <w:sz w:val="20"/>
          <w:szCs w:val="20"/>
          <w:color w:val="auto"/>
        </w:rPr>
        <w:t>”) of the Plan is expressly incorporated into this Agreement and are applicable to the Shares issued pursuant to this Agreement.</w:t>
      </w:r>
    </w:p>
    <w:p>
      <w:pPr>
        <w:spacing w:after="0" w:line="14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By executing this Agreement and accepting this Award, Participant agrees that all compensation received by Participant, including Awards under the Plan, shall be subject to reduction, cancellation, forfeiture and/or recoupment to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extent necessary to comply with the provisions of any clawback policy implemented by the Company, including, without limitation, the Company’s Policy for Recovery of Erroneously Awarded Compensation (as amended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and any clawback</w:t>
      </w:r>
    </w:p>
    <w:p>
      <w:pPr>
        <w:spacing w:after="0" w:line="211" w:lineRule="auto"/>
        <w:rPr>
          <w:sz w:val="20"/>
          <w:szCs w:val="20"/>
          <w:color w:val="auto"/>
        </w:rPr>
      </w:pPr>
      <w:r>
        <w:rPr>
          <w:rFonts w:ascii="Times New Roman" w:cs="Times New Roman" w:eastAsia="Times New Roman" w:hAnsi="Times New Roman"/>
          <w:sz w:val="20"/>
          <w:szCs w:val="20"/>
          <w:color w:val="auto"/>
        </w:rPr>
        <w:t>policy adopted to comply with applicable law (including the Dodd-Frank Wall Street Reform and Consumer Protection Act and any rules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regulations promulgated thereunder) (collectively, the “</w:t>
      </w:r>
      <w:r>
        <w:rPr>
          <w:rFonts w:ascii="Times New Roman" w:cs="Times New Roman" w:eastAsia="Times New Roman" w:hAnsi="Times New Roman"/>
          <w:sz w:val="20"/>
          <w:szCs w:val="20"/>
          <w:b w:val="1"/>
          <w:bCs w:val="1"/>
          <w:i w:val="1"/>
          <w:iCs w:val="1"/>
          <w:color w:val="auto"/>
        </w:rPr>
        <w:t>Recovery Arrangements</w:t>
      </w:r>
      <w:r>
        <w:rPr>
          <w:rFonts w:ascii="Times New Roman" w:cs="Times New Roman" w:eastAsia="Times New Roman" w:hAnsi="Times New Roman"/>
          <w:sz w:val="20"/>
          <w:szCs w:val="20"/>
          <w:color w:val="auto"/>
        </w:rPr>
        <w:t>”) and Section 10.14 of the Plan, notwithstanding any other agreement to the contrary. Participant agrees that Participant is not entitled to indemnification in connection with any enforcement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Recovery Arrangements and expressly waives any rights to such indemnification under the Company’s organizational documents or otherwise.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89" w:lineRule="exact"/>
        <w:rPr>
          <w:sz w:val="20"/>
          <w:szCs w:val="20"/>
          <w:color w:val="auto"/>
        </w:rPr>
      </w:pPr>
    </w:p>
    <w:p>
      <w:pPr>
        <w:jc w:val="both"/>
        <w:ind w:firstLine="1304"/>
        <w:spacing w:after="0" w:line="226"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5.3,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spacing w:after="0" w:line="204"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23"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spacing w:after="0" w:line="204"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when delivered by a nationally recognized express shipping company or upon receipt of a facsimile transmission confirmation.</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conform to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5" w:right="339" w:bottom="1440" w:gutter="0" w:footer="0" w:header="0"/>
        </w:sectPr>
      </w:pPr>
    </w:p>
    <w:bookmarkStart w:id="174" w:name="page175"/>
    <w:bookmarkEnd w:id="17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under this Agreement to single or multiple assignees, and</w:t>
      </w:r>
    </w:p>
    <w:p>
      <w:pPr>
        <w:spacing w:after="0" w:line="204" w:lineRule="auto"/>
        <w:rPr>
          <w:sz w:val="20"/>
          <w:szCs w:val="20"/>
          <w:color w:val="auto"/>
        </w:rPr>
      </w:pPr>
      <w:r>
        <w:rPr>
          <w:rFonts w:ascii="Times New Roman" w:cs="Times New Roman" w:eastAsia="Times New Roman" w:hAnsi="Times New Roman"/>
          <w:sz w:val="20"/>
          <w:szCs w:val="20"/>
          <w:color w:val="auto"/>
        </w:rPr>
        <w:t>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hereto.</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w:t>
      </w:r>
    </w:p>
    <w:p>
      <w:pPr>
        <w:spacing w:after="0" w:line="212" w:lineRule="auto"/>
        <w:rPr>
          <w:sz w:val="20"/>
          <w:szCs w:val="20"/>
          <w:color w:val="auto"/>
        </w:rPr>
      </w:pPr>
      <w:r>
        <w:rPr>
          <w:rFonts w:ascii="Times New Roman" w:cs="Times New Roman" w:eastAsia="Times New Roman" w:hAnsi="Times New Roman"/>
          <w:sz w:val="20"/>
          <w:szCs w:val="20"/>
          <w:color w:val="auto"/>
        </w:rPr>
        <w:t>the subject matter hereof , including without limitation, the provisions of any employment agreement or offer letter regarding equity awards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be awarded to Participant by the Company, or any other oral, implied or written promises, statements, understandings, undertakings or agreements by the Company or any of its representatives regarding equity awards to be awarded to Participant by the Company. Participant</w:t>
      </w:r>
    </w:p>
    <w:p>
      <w:pPr>
        <w:spacing w:after="0" w:line="211" w:lineRule="auto"/>
        <w:rPr>
          <w:sz w:val="20"/>
          <w:szCs w:val="20"/>
          <w:color w:val="auto"/>
        </w:rPr>
      </w:pPr>
      <w:r>
        <w:rPr>
          <w:rFonts w:ascii="Times New Roman" w:cs="Times New Roman" w:eastAsia="Times New Roman" w:hAnsi="Times New Roman"/>
          <w:sz w:val="20"/>
          <w:szCs w:val="20"/>
          <w:color w:val="auto"/>
        </w:rPr>
        <w:t>hereby agrees to execute such further instruments and to take such further action as the Company requests to carry out the purposes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intent of this Agreement and the Plan, including, without limitation, restrictions on the transferability of the Shares. This Agreement may not be amended without the written consent of Participant and an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-147955</wp:posOffset>
            </wp:positionV>
            <wp:extent cx="311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u w:val="single" w:color="auto"/>
          <w:color w:val="auto"/>
        </w:rPr>
        <w:t>Limitation on Participant’s Rights</w:t>
      </w:r>
      <w:r>
        <w:rPr>
          <w:rFonts w:ascii="Times New Roman" w:cs="Times New Roman" w:eastAsia="Times New Roman" w:hAnsi="Times New Roman"/>
          <w:sz w:val="19"/>
          <w:szCs w:val="19"/>
          <w:color w:val="auto"/>
        </w:rPr>
        <w:t>. Participation in the Plan confers no rights or interests other than as herein provided. This</w:t>
      </w:r>
    </w:p>
    <w:p>
      <w:pPr>
        <w:spacing w:after="0" w:line="215"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204" w:lineRule="auto"/>
        <w:rPr>
          <w:sz w:val="20"/>
          <w:szCs w:val="20"/>
          <w:color w:val="auto"/>
        </w:rPr>
      </w:pPr>
      <w:r>
        <w:rPr>
          <w:rFonts w:ascii="Times New Roman" w:cs="Times New Roman" w:eastAsia="Times New Roman" w:hAnsi="Times New Roman"/>
          <w:sz w:val="20"/>
          <w:szCs w:val="20"/>
          <w:color w:val="auto"/>
        </w:rPr>
        <w:t>creditor of the Company with respect to amounts credited and benefits payable, if any, with respect to the RSUs and the Dividend Equivalents, and rights no greater than the right to receive the Shares as a general unsecured creditor with respect to the RSUs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 Equivalents, as and when settled pursuant to the terms of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w:t>
      </w:r>
    </w:p>
    <w:p>
      <w:pPr>
        <w:spacing w:after="0" w:line="212" w:lineRule="auto"/>
        <w:rPr>
          <w:sz w:val="20"/>
          <w:szCs w:val="20"/>
          <w:color w:val="auto"/>
        </w:rPr>
      </w:pPr>
      <w:r>
        <w:rPr>
          <w:rFonts w:ascii="Times New Roman" w:cs="Times New Roman" w:eastAsia="Times New Roman" w:hAnsi="Times New Roman"/>
          <w:sz w:val="20"/>
          <w:szCs w:val="20"/>
          <w:color w:val="auto"/>
        </w:rPr>
        <w:t>Shares (which may be in book-entry form) will have been issued and recorded on the records of the Company or its transfer agents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registrars, and delivered to Participant (including through electronic delivery to a brokerage account). Except as otherwise provided herein, after such issuance, recordation and delivery, Participant will have all the rights of a stockholder of the Company with respect to such Shares,</w:t>
      </w:r>
    </w:p>
    <w:p>
      <w:pPr>
        <w:spacing w:after="0" w:line="228" w:lineRule="auto"/>
        <w:rPr>
          <w:sz w:val="20"/>
          <w:szCs w:val="20"/>
          <w:color w:val="auto"/>
        </w:rPr>
      </w:pPr>
      <w:r>
        <w:rPr>
          <w:rFonts w:ascii="Times New Roman" w:cs="Times New Roman" w:eastAsia="Times New Roman" w:hAnsi="Times New Roman"/>
          <w:sz w:val="20"/>
          <w:szCs w:val="20"/>
          <w:color w:val="auto"/>
        </w:rPr>
        <w:t>including, without limitation, the right to receipt of dividends and distributions on such Shares. The issuance of Shares under this Award to Participant shall be subject to Participant’s satisfaction of the conditions under Section 10.14 of the Plan.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Related Entity or interferes with or restricts in any way the rights of the Company</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and its Related Entities, which rights are hereby expressly reserved, to discharge or terminate the services of Participant at any time for any reason whatsoever, with or without Cause, except to the extent expressly provided otherwise in a written agreement between the Company or</w:t>
      </w:r>
    </w:p>
    <w:p>
      <w:pPr>
        <w:spacing w:after="0"/>
        <w:rPr>
          <w:sz w:val="20"/>
          <w:szCs w:val="20"/>
          <w:color w:val="auto"/>
        </w:rPr>
      </w:pPr>
      <w:r>
        <w:rPr>
          <w:rFonts w:ascii="Times New Roman" w:cs="Times New Roman" w:eastAsia="Times New Roman" w:hAnsi="Times New Roman"/>
          <w:sz w:val="20"/>
          <w:szCs w:val="20"/>
          <w:color w:val="auto"/>
        </w:rPr>
        <w:t>a Related Entity and Participant.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864"/>
        <w:spacing w:after="0" w:line="269" w:lineRule="auto"/>
        <w:tabs>
          <w:tab w:leader="none" w:pos="128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this Agreement or the Grant Notice, the Plan, this Agreement and the Grant Notice shall be interpreted in accordance 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4" w:right="339" w:bottom="1440" w:gutter="0" w:footer="0" w:header="0"/>
        </w:sectPr>
      </w:pPr>
    </w:p>
    <w:bookmarkStart w:id="175" w:name="page176"/>
    <w:bookmarkEnd w:id="175"/>
    <w:p>
      <w:pPr>
        <w:jc w:val="both"/>
        <w:spacing w:after="0" w:line="253" w:lineRule="auto"/>
        <w:rPr>
          <w:sz w:val="20"/>
          <w:szCs w:val="20"/>
          <w:color w:val="auto"/>
        </w:rPr>
      </w:pPr>
      <w:r>
        <w:rPr>
          <w:rFonts w:ascii="Times New Roman" w:cs="Times New Roman" w:eastAsia="Times New Roman" w:hAnsi="Times New Roman"/>
          <w:sz w:val="20"/>
          <w:szCs w:val="20"/>
          <w:color w:val="auto"/>
        </w:rPr>
        <w:t>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92" w:lineRule="exact"/>
        <w:rPr>
          <w:sz w:val="20"/>
          <w:szCs w:val="20"/>
          <w:color w:val="auto"/>
        </w:rPr>
      </w:pPr>
    </w:p>
    <w:p>
      <w:pPr>
        <w:jc w:val="both"/>
        <w:ind w:firstLine="895"/>
        <w:spacing w:after="0" w:line="235" w:lineRule="auto"/>
        <w:tabs>
          <w:tab w:leader="none" w:pos="135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not intended to provide for any deferral of compensation subject to Section 409A, and, accordingly, the Shares issuable pursuant to the RSUs (including RSUs credited as Dividend Equivalents) shall be distributed to Participant, and any payments in respect of Dividend Equivalents shall be paid to Participant, no later than the later of: (A)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Participant’s first taxable year in which such RSUs and/or Dividend Equivalents, as applicable, are no longer subject to a substantial risk of forfeiture, and (B)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first taxable year of the Company in which such RSUs and/or Dividend Equivalents, as applicable, are no longer subject to substantial risk of forfeiture, as determined in accordance with Section 409A.</w:t>
      </w:r>
    </w:p>
    <w:p>
      <w:pPr>
        <w:spacing w:after="0" w:line="187" w:lineRule="exact"/>
        <w:rPr>
          <w:rFonts w:ascii="Times New Roman" w:cs="Times New Roman" w:eastAsia="Times New Roman" w:hAnsi="Times New Roman"/>
          <w:sz w:val="20"/>
          <w:szCs w:val="20"/>
          <w:color w:val="auto"/>
        </w:rPr>
      </w:pPr>
    </w:p>
    <w:p>
      <w:pPr>
        <w:ind w:firstLine="915"/>
        <w:spacing w:after="0" w:line="283" w:lineRule="auto"/>
        <w:tabs>
          <w:tab w:leader="none" w:pos="13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409A (including, without limitation, for purposes of Treasury Regulation Section 1.409A-2(b)(2) (iii)), each payment that Participant may be eligible to receive under this Agreement shall be treated as a separate and distinct payment.</w:t>
      </w:r>
    </w:p>
    <w:p>
      <w:pPr>
        <w:spacing w:after="0" w:line="13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5.16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thereunder, including the RSUs and the Dividend Equivalents, shall be governed by and interpreted in accordance with the laws of the State of Delaware, disregarding choice-of-law principles of the law of any state that would require the application of the laws of a jurisdiction other than such state.</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additional limitations set forth in any applicable exemptive rule under Section 16 of the Exchange Act (including any amendment to Rule 16b-3) that are requirements for the application of such exemptive rule. To the extent Applicable Laws permit, this Agreement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deemed amended as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1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b w:val="1"/>
          <w:bCs w:val="1"/>
          <w:color w:val="auto"/>
        </w:rPr>
        <w:t>Exhibit 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40575" cy="6261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71405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 FOR ISRAELI PARTICIPANTS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and the Sub-Plan for Israeli Participants (the “</w:t>
      </w:r>
      <w:r>
        <w:rPr>
          <w:rFonts w:ascii="Times New Roman" w:cs="Times New Roman" w:eastAsia="Times New Roman" w:hAnsi="Times New Roman"/>
          <w:sz w:val="20"/>
          <w:szCs w:val="20"/>
          <w:b w:val="1"/>
          <w:bCs w:val="1"/>
          <w:i w:val="1"/>
          <w:iCs w:val="1"/>
          <w:color w:val="auto"/>
        </w:rPr>
        <w:t>Sub-Plan</w:t>
      </w:r>
      <w:r>
        <w:rPr>
          <w:rFonts w:ascii="Times New Roman" w:cs="Times New Roman" w:eastAsia="Times New Roman" w:hAnsi="Times New Roman"/>
          <w:sz w:val="20"/>
          <w:szCs w:val="20"/>
          <w:color w:val="auto"/>
        </w:rPr>
        <w:t>,” and jointly with the 2020 Incentive Award Plan, as each may be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except where the context otherwise requires), in each case,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Section 102(b) of the ITO and the Rules promulgated in connection therewith and the Trust Agreement entered into between the Trustee and the Company, a copy of which has been provided to Participant or made available for Participant’s review.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3780" w:type="dxa"/>
            <w:vAlign w:val="bottom"/>
          </w:tcPr>
          <w:p>
            <w:pPr>
              <w:ind w:left="1380"/>
              <w:spacing w:after="0"/>
              <w:rPr>
                <w:sz w:val="20"/>
                <w:szCs w:val="20"/>
                <w:color w:val="auto"/>
              </w:rPr>
            </w:pPr>
            <w:r>
              <w:rPr>
                <w:rFonts w:ascii="Times New Roman" w:cs="Times New Roman" w:eastAsia="Times New Roman" w:hAnsi="Times New Roman"/>
                <w:sz w:val="20"/>
                <w:szCs w:val="20"/>
                <w:i w:val="1"/>
                <w:iCs w:val="1"/>
                <w:color w:val="auto"/>
                <w:w w:val="96"/>
              </w:rPr>
              <w:t>###PARTICIPANT_NAME###</w:t>
            </w:r>
          </w:p>
        </w:tc>
        <w:tc>
          <w:tcPr>
            <w:tcW w:w="0" w:type="dxa"/>
            <w:vAlign w:val="bottom"/>
          </w:tcPr>
          <w:p>
            <w:pPr>
              <w:spacing w:after="0"/>
              <w:rPr>
                <w:sz w:val="1"/>
                <w:szCs w:val="1"/>
                <w:color w:val="auto"/>
              </w:rPr>
            </w:pPr>
          </w:p>
        </w:tc>
      </w:tr>
      <w:tr>
        <w:trPr>
          <w:trHeight w:val="499"/>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780" w:type="dxa"/>
            <w:vAlign w:val="bottom"/>
          </w:tcPr>
          <w:p>
            <w:pPr>
              <w:ind w:left="1380"/>
              <w:spacing w:after="0"/>
              <w:rPr>
                <w:sz w:val="20"/>
                <w:szCs w:val="20"/>
                <w:color w:val="auto"/>
              </w:rPr>
            </w:pPr>
            <w:r>
              <w:rPr>
                <w:rFonts w:ascii="Times New Roman" w:cs="Times New Roman" w:eastAsia="Times New Roman" w:hAnsi="Times New Roman"/>
                <w:sz w:val="20"/>
                <w:szCs w:val="20"/>
                <w:i w:val="1"/>
                <w:iCs w:val="1"/>
                <w:color w:val="auto"/>
              </w:rPr>
              <w:t>###GRANT_DATE###</w:t>
            </w:r>
          </w:p>
        </w:tc>
        <w:tc>
          <w:tcPr>
            <w:tcW w:w="0" w:type="dxa"/>
            <w:vAlign w:val="bottom"/>
          </w:tcPr>
          <w:p>
            <w:pPr>
              <w:spacing w:after="0"/>
              <w:rPr>
                <w:sz w:val="1"/>
                <w:szCs w:val="1"/>
                <w:color w:val="auto"/>
              </w:rPr>
            </w:pPr>
          </w:p>
        </w:tc>
      </w:tr>
      <w:tr>
        <w:trPr>
          <w:trHeight w:val="500"/>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3780" w:type="dxa"/>
            <w:vAlign w:val="bottom"/>
            <w:vMerge w:val="restart"/>
          </w:tcPr>
          <w:p>
            <w:pPr>
              <w:ind w:left="1380"/>
              <w:spacing w:after="0"/>
              <w:rPr>
                <w:sz w:val="20"/>
                <w:szCs w:val="20"/>
                <w:color w:val="auto"/>
              </w:rPr>
            </w:pPr>
            <w:r>
              <w:rPr>
                <w:rFonts w:ascii="Times New Roman" w:cs="Times New Roman" w:eastAsia="Times New Roman" w:hAnsi="Times New Roman"/>
                <w:sz w:val="20"/>
                <w:szCs w:val="20"/>
                <w:i w:val="1"/>
                <w:iCs w:val="1"/>
                <w:color w:val="auto"/>
              </w:rPr>
              <w:t>###TOTAL_AWARDS###</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 Status:</w:t>
            </w:r>
          </w:p>
        </w:tc>
        <w:tc>
          <w:tcPr>
            <w:tcW w:w="3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102 Capital Gains Track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i w:val="1"/>
          <w:iCs w:val="1"/>
          <w:color w:val="auto"/>
        </w:rPr>
        <w:t>###VEST_SCHEDULE_TABLE###</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6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the Agreement, Section 102(b) of the ITO and the Rules promulgated in connection therewith, and the Trust Agreement. In addition, by Participant’s signature below, Participant agrees that the Award shall be issued to the Trustee to hold on Participant’s behalf, pursuant to the terms of the ITO, the Rules and the Trust Agreement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Furthermore, by Participant’s signature below, Participant confirms that the Company, its assignees and successors shall be under no duty to ensure, and no representation or commitment is made, that the Award qualifies or shall qualify under any particular tax treatment such as the “capital gains track” under Section 102, nor shall the Company, its assignees or successors be required to take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6459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90" w:lineRule="exact"/>
        <w:rPr>
          <w:sz w:val="20"/>
          <w:szCs w:val="20"/>
          <w:color w:val="auto"/>
        </w:rPr>
      </w:pPr>
    </w:p>
    <w:p>
      <w:pPr>
        <w:jc w:val="both"/>
        <w:ind w:left="140" w:hanging="132"/>
        <w:spacing w:after="0" w:line="235" w:lineRule="auto"/>
        <w:tabs>
          <w:tab w:leader="none" w:pos="137" w:val="left"/>
        </w:tabs>
        <w:numPr>
          <w:ilvl w:val="0"/>
          <w:numId w:val="6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Any reference to issuance of Awards and underlying Shares to the Trustee to be held in Trust for the benefit of the Participant shall mean the supervision of the Trustee on such Awards and underlying Shares, including the application of any tax withholding requirements thereunder, pursuant to a relevant tax ruling to be obtained from the Israeli Tax Authority.</w:t>
      </w:r>
    </w:p>
    <w:p>
      <w:pPr>
        <w:sectPr>
          <w:pgSz w:w="11900" w:h="16838" w:orient="portrait"/>
          <w:cols w:equalWidth="0" w:num="1">
            <w:col w:w="11240"/>
          </w:cols>
          <w:pgMar w:left="320" w:top="100" w:right="339" w:bottom="1440" w:gutter="0" w:footer="0" w:header="0"/>
        </w:sectPr>
      </w:pPr>
    </w:p>
    <w:bookmarkStart w:id="177" w:name="page178"/>
    <w:bookmarkEnd w:id="177"/>
    <w:p>
      <w:pPr>
        <w:jc w:val="both"/>
        <w:spacing w:after="0" w:line="250" w:lineRule="auto"/>
        <w:rPr>
          <w:sz w:val="20"/>
          <w:szCs w:val="20"/>
          <w:color w:val="auto"/>
        </w:rPr>
      </w:pPr>
      <w:r>
        <w:rPr>
          <w:rFonts w:ascii="Times New Roman" w:cs="Times New Roman" w:eastAsia="Times New Roman" w:hAnsi="Times New Roman"/>
          <w:sz w:val="20"/>
          <w:szCs w:val="20"/>
          <w:color w:val="auto"/>
        </w:rPr>
        <w:t>action for the qualification of any Award under such tax treatment. The Company shall have no liability of any kind or nature in the event that, as a result of Applicable Laws, actions by the Trustee or any position or interpretation of the ITA, or for any other reason whatsoever, an Award shall be deemed not to qualify for any particular tax treatment. Participant has reviewed the Plan, this Grant Notice, the Agreement and the Trust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In addition, Participant confirms that he/she is familiar with the terms and provisions of Section 102 of the ITO, particularly the 102 Capital Gains Track described in subsection (b)(2) thereof, and agrees that he/she shall not require the Trustee to release the Award or Shares to him/her, or to sell the Award or Shares to a third party, during the Required Holding Period, as set forth in the Sub-Plan, unless permitted to do so by Applicable Laws.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499"/>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460" w:type="dxa"/>
            <w:vAlign w:val="bottom"/>
          </w:tcPr>
          <w:p>
            <w:pPr>
              <w:spacing w:after="0"/>
              <w:rPr>
                <w:sz w:val="24"/>
                <w:szCs w:val="24"/>
                <w:color w:val="auto"/>
              </w:rPr>
            </w:pPr>
          </w:p>
        </w:tc>
      </w:tr>
      <w:tr>
        <w:trPr>
          <w:trHeight w:val="50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 Name:</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Print Name:</w:t>
            </w:r>
          </w:p>
        </w:tc>
      </w:tr>
      <w:tr>
        <w:trPr>
          <w:trHeight w:val="223"/>
        </w:trPr>
        <w:tc>
          <w:tcPr>
            <w:tcW w:w="14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r>
        <w:trPr>
          <w:trHeight w:val="256"/>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460" w:type="dxa"/>
            <w:vAlign w:val="bottom"/>
          </w:tcPr>
          <w:p>
            <w:pPr>
              <w:spacing w:after="0"/>
              <w:rPr>
                <w:sz w:val="22"/>
                <w:szCs w:val="22"/>
                <w:color w:val="auto"/>
              </w:rPr>
            </w:pPr>
          </w:p>
        </w:tc>
      </w:tr>
      <w:tr>
        <w:trPr>
          <w:trHeight w:val="224"/>
        </w:trPr>
        <w:tc>
          <w:tcPr>
            <w:tcW w:w="14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-325120</wp:posOffset>
            </wp:positionV>
            <wp:extent cx="26060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 or in the Sub-Plan.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 and Dividend Equivalents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RSUs have vested. Each vested portion of the RSU has a corresponding Dividend Equivalent as described in Article III.</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w:t>
      </w:r>
    </w:p>
    <w:p>
      <w:pPr>
        <w:jc w:val="both"/>
        <w:spacing w:after="0" w:line="204" w:lineRule="auto"/>
        <w:rPr>
          <w:sz w:val="20"/>
          <w:szCs w:val="20"/>
          <w:color w:val="auto"/>
        </w:rPr>
      </w:pPr>
      <w:r>
        <w:rPr>
          <w:rFonts w:ascii="Times New Roman" w:cs="Times New Roman" w:eastAsia="Times New Roman" w:hAnsi="Times New Roman"/>
          <w:sz w:val="20"/>
          <w:szCs w:val="20"/>
          <w:color w:val="auto"/>
        </w:rPr>
        <w:t>except that any fraction of an RSU that would otherwise be vested will be accumulated and will vest only when a whole RSU has accumulated. Except as provided in the Grant Notice, in the event of Participant’s Termination of Service for any reason, all unvested RSUs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and any unpaid Dividend Equivalents will immediately and automatically be cancelled and forfeited, except as otherwise determined by the Administrator or provided in a binding written agreement between Participant and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p>
    <w:p>
      <w:pPr>
        <w:spacing w:after="0" w:line="189" w:lineRule="exact"/>
        <w:rPr>
          <w:sz w:val="20"/>
          <w:szCs w:val="20"/>
          <w:color w:val="auto"/>
        </w:rPr>
      </w:pPr>
    </w:p>
    <w:p>
      <w:pPr>
        <w:jc w:val="both"/>
        <w:ind w:right="20" w:firstLine="1304"/>
        <w:spacing w:after="0" w:line="226" w:lineRule="auto"/>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will be paid in Shares to the Trustee as soon as administratively practicable after the vesting of the applicable RSU, but in no event more than sixty days after the applicable vesting date, who will hold them in trust for the benefit of Participant in accordance with the terms and provisions of this Agreement, the Plan and the Trust Agreement.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7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notify the Trustee of the distribution of any Shares in respect of the RSUs set forth in this Agreement. If such issuance occurs during the Required Holding Period, the Shares issued upon the settlement of the RSUs shall be issued in the name of the Trustee, and held in trust on Participant’s behalf by the Trustee. In the event that such settlement occurs after the end of the Required Holding Period, the Shares issued upon the settlement of the RSUs shall either (i) be issued in the name of the Trustee, or (ii) be transferred to Participant directly, provided that Participant first complies with the tax provisions of the Plan and Sub-Plan, as provided in Section 4.2 below. In the event that Participant elects to have the Shares transferred to Participant without selling such Shares, Participant shall become liable to pay taxes immediately in accordance with the provisions of the ITO.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ectPr>
          <w:pgSz w:w="11900" w:h="16838" w:orient="portrait"/>
          <w:cols w:equalWidth="0" w:num="1">
            <w:col w:w="11240"/>
          </w:cols>
          <w:pgMar w:left="320" w:top="1409" w:right="339" w:bottom="1440" w:gutter="0" w:footer="0" w:header="0"/>
        </w:sectPr>
      </w:pPr>
    </w:p>
    <w:bookmarkStart w:id="179" w:name="page180"/>
    <w:bookmarkEnd w:id="17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Award of Dividend Equivalents</w:t>
      </w:r>
      <w:r>
        <w:rPr>
          <w:rFonts w:ascii="Times New Roman" w:cs="Times New Roman" w:eastAsia="Times New Roman" w:hAnsi="Times New Roman"/>
          <w:sz w:val="20"/>
          <w:szCs w:val="20"/>
          <w:color w:val="auto"/>
        </w:rPr>
        <w:t>. To the extent a portion of an RSU has vested, but such vested portion of such RSU has not</w:t>
      </w:r>
    </w:p>
    <w:p>
      <w:pPr>
        <w:spacing w:after="0" w:line="204" w:lineRule="auto"/>
        <w:rPr>
          <w:sz w:val="20"/>
          <w:szCs w:val="20"/>
          <w:color w:val="auto"/>
        </w:rPr>
      </w:pPr>
      <w:r>
        <w:rPr>
          <w:rFonts w:ascii="Times New Roman" w:cs="Times New Roman" w:eastAsia="Times New Roman" w:hAnsi="Times New Roman"/>
          <w:sz w:val="20"/>
          <w:szCs w:val="20"/>
          <w:color w:val="auto"/>
        </w:rPr>
        <w:t>yet settled pursuant to Section 2.2, such vested portion of such RSU granted hereunder is hereby granted in tandem with a corresponding Dividend Equivalent, which Dividend Equivalent shall remain outstanding from such date of vesting until the earlier of the settlement or</w:t>
      </w:r>
    </w:p>
    <w:p>
      <w:pPr>
        <w:spacing w:after="0" w:line="211" w:lineRule="auto"/>
        <w:rPr>
          <w:sz w:val="20"/>
          <w:szCs w:val="20"/>
          <w:color w:val="auto"/>
        </w:rPr>
      </w:pPr>
      <w:r>
        <w:rPr>
          <w:rFonts w:ascii="Times New Roman" w:cs="Times New Roman" w:eastAsia="Times New Roman" w:hAnsi="Times New Roman"/>
          <w:sz w:val="20"/>
          <w:szCs w:val="20"/>
          <w:color w:val="auto"/>
        </w:rPr>
        <w:t>forfeiture of the RSU to which it corresponds. Pursuant to each outstanding Dividend Equivalent, Participant shall be entitled to receive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additional RSUs (or cash as set forth in Section 3.4) equal to the value of any dividends, if any, that Participant would have received in respect of the Share underlying the RSU to which such Dividend Equivalent relates, had such Share been outstanding on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 record date.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RSUs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189" w:lineRule="exact"/>
        <w:rPr>
          <w:sz w:val="20"/>
          <w:szCs w:val="20"/>
          <w:color w:val="auto"/>
        </w:rPr>
      </w:pPr>
    </w:p>
    <w:p>
      <w:pPr>
        <w:jc w:val="both"/>
        <w:ind w:firstLine="1304"/>
        <w:spacing w:after="0" w:line="258" w:lineRule="auto"/>
        <w:tabs>
          <w:tab w:leader="none" w:pos="185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w:t>
      </w:r>
    </w:p>
    <w:p>
      <w:pPr>
        <w:spacing w:after="0" w:line="19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 or</w:t>
      </w:r>
    </w:p>
    <w:p>
      <w:pPr>
        <w:spacing w:after="0" w:line="188" w:lineRule="exact"/>
        <w:rPr>
          <w:rFonts w:ascii="Times New Roman" w:cs="Times New Roman" w:eastAsia="Times New Roman" w:hAnsi="Times New Roman"/>
          <w:sz w:val="20"/>
          <w:szCs w:val="20"/>
          <w:color w:val="auto"/>
        </w:rPr>
      </w:pPr>
    </w:p>
    <w:p>
      <w:pPr>
        <w:ind w:firstLine="1304"/>
        <w:spacing w:after="0" w:line="283" w:lineRule="auto"/>
        <w:tabs>
          <w:tab w:leader="none" w:pos="186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this Article III, in the event additional RSUs are credited to Participant as a result of any Dividend Equivalent right, the Company will provide Participant notice of the crediting of such additional RSUs.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RSUs Subject to Same Terms</w:t>
      </w:r>
      <w:r>
        <w:rPr>
          <w:rFonts w:ascii="Times New Roman" w:cs="Times New Roman" w:eastAsia="Times New Roman" w:hAnsi="Times New Roman"/>
          <w:sz w:val="20"/>
          <w:szCs w:val="20"/>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right shall automatically be cancelled on such forfeiture date or settlement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4" w:right="339" w:bottom="1440" w:gutter="0" w:footer="0" w:header="0"/>
        </w:sectPr>
      </w:pPr>
    </w:p>
    <w:bookmarkStart w:id="180" w:name="page181"/>
    <w:bookmarkEnd w:id="180"/>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Tax Implications</w:t>
      </w:r>
      <w:r>
        <w:rPr>
          <w:rFonts w:ascii="Times New Roman" w:cs="Times New Roman" w:eastAsia="Times New Roman" w:hAnsi="Times New Roman"/>
          <w:sz w:val="20"/>
          <w:szCs w:val="20"/>
          <w:color w:val="auto"/>
        </w:rPr>
        <w:t>. Dividend Equivalent rights and amounts that become distributable in respect thereof shall be treated separately from the original RSUs and the rights arising in connection therewith for the purposes of qualification of the original RSUs under the Capital Gains Route and the entitlement to any tax benefits under Section 102 to the ITO.</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tax consequences of this Award and the transactions contemplated by the Grant Notice and this Agreement. Participant is relying solely on such advisors and not on any statements or representations of the Company and/or the Trustee or any of their agents.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p>
    <w:p>
      <w:pPr>
        <w:spacing w:after="0" w:line="189" w:lineRule="exact"/>
        <w:rPr>
          <w:sz w:val="20"/>
          <w:szCs w:val="20"/>
          <w:color w:val="auto"/>
        </w:rPr>
      </w:pPr>
    </w:p>
    <w:p>
      <w:pPr>
        <w:jc w:val="both"/>
        <w:ind w:firstLine="1304"/>
        <w:spacing w:after="0" w:line="234" w:lineRule="auto"/>
        <w:tabs>
          <w:tab w:leader="none" w:pos="193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any taxable event related to the RSUs or the Dividend Equivalents (the “</w:t>
      </w:r>
      <w:r>
        <w:rPr>
          <w:rFonts w:ascii="Times New Roman" w:cs="Times New Roman" w:eastAsia="Times New Roman" w:hAnsi="Times New Roman"/>
          <w:sz w:val="19"/>
          <w:szCs w:val="19"/>
          <w:b w:val="1"/>
          <w:bCs w:val="1"/>
          <w:i w:val="1"/>
          <w:iCs w:val="1"/>
          <w:color w:val="auto"/>
        </w:rPr>
        <w:t>Tax Withholding Obligation</w:t>
      </w:r>
      <w:r>
        <w:rPr>
          <w:rFonts w:ascii="Times New Roman" w:cs="Times New Roman" w:eastAsia="Times New Roman" w:hAnsi="Times New Roman"/>
          <w:sz w:val="19"/>
          <w:szCs w:val="19"/>
          <w:color w:val="auto"/>
        </w:rPr>
        <w:t>”).</w:t>
      </w:r>
    </w:p>
    <w:p>
      <w:pPr>
        <w:spacing w:after="0" w:line="146"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any sale of the Shares underlying the RSU or the transfer of the Shares underlying the RSU from the Trustee to Participant, Participant shall be subject to tax. Such tax will be calculated and withheld at source by the Company and/or its Related Entities and/or the Trustee according to the requirements under the Applicable Laws. Participant may elect to satisfy the Tax Withholding Obligation by any means provided in accordance with Section 9.5 of the Plan, which includes Participant’s ability to instruct and authorize the Company to, with respect to the Tax Withholding Obligation arising as a result of the sale of the Shares underlying the RSUs or the transfer of the Shares underlying the RSUs from the Trustee to Participant (in each case, including additional RSUs granted pursuant to Section 3.2), withhold a net number of vested Shares otherwise issuable pursuant to the RSUs having a then-current Fair Market Value not exceeding the amount necessary to satisfy the Tax Withholding Obligation of the Company and its Related Entities.</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20"/>
          <w:szCs w:val="20"/>
          <w:b w:val="1"/>
          <w:bCs w:val="1"/>
          <w:i w:val="1"/>
          <w:iCs w:val="1"/>
          <w:color w:val="auto"/>
        </w:rPr>
        <w:t>Applicable Tax Withholding Rate</w:t>
      </w:r>
      <w:r>
        <w:rPr>
          <w:rFonts w:ascii="Times New Roman" w:cs="Times New Roman" w:eastAsia="Times New Roman" w:hAnsi="Times New Roman"/>
          <w:sz w:val="20"/>
          <w:szCs w:val="20"/>
          <w:color w:val="auto"/>
        </w:rPr>
        <w:t xml:space="preserve">” shall mean (i) the greater of (A) the minimum applicable statutory tax withholding rate or (B) with Participant’s consent, the maximum individual tax withholding rate permitted under the rules of the applicable taxing authority for tax withholding attributable to the underlying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in no event shall Participant’s Applicable Tax Withholding Rate exceed the maximum individual statutory tax rate in the applicable jurisdiction at the time of such withholding;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RSUs and Dividend Equivalents under generally accepted accounting principles.</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and the Dividend Equivalents, regardless of any action the Company or any Related Entity or the Trustee takes with respect to any Tax Withholding Obligations that arise in connection with the RSUs and the Dividend Equivalents. Neither the Company nor any Related Entity nor the Trustee makes any representation or undertaking regarding the tax treatment to Participant in connection with the RSUs and the Dividend Equivalents or the subsequent sale of Shares. The Company and the Related Entities and the Trustee do not commit and are under no obligation to structure the RSUs and the Dividend Equivalents to reduce or eliminate Participant’s tax liability. Furthermore, Participant agrees to indemnify the Company and/or its Related Entities and/or the Trustee and hold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40"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9"/>
          <w:szCs w:val="19"/>
          <w:color w:val="auto"/>
        </w:rPr>
        <w:t>harmless against and from any and all liability for any such tax or interest or penalty thereon, including without limitation, liabilities relating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necessity to withhold, or to have withheld, any such tax from any payment made to Participant for which Participant is responsible. The Company or any of its Related Entities and the Trustee may make such provisions and take such steps as it/they may deem necessary or</w:t>
      </w:r>
    </w:p>
    <w:p>
      <w:pPr>
        <w:spacing w:after="0" w:line="211" w:lineRule="auto"/>
        <w:rPr>
          <w:sz w:val="20"/>
          <w:szCs w:val="20"/>
          <w:color w:val="auto"/>
        </w:rPr>
      </w:pPr>
      <w:r>
        <w:rPr>
          <w:rFonts w:ascii="Times New Roman" w:cs="Times New Roman" w:eastAsia="Times New Roman" w:hAnsi="Times New Roman"/>
          <w:sz w:val="20"/>
          <w:szCs w:val="20"/>
          <w:color w:val="auto"/>
        </w:rPr>
        <w:t>appropriate for the withholding of all taxes required by law to be withheld with respect to the Award and the settlement thereof. In addition,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Participant will be required to pay any amount that exceeds the tax to be withheld and transferred to the tax authorities, pursuant to applicable Israeli tax regulations.</w:t>
      </w:r>
    </w:p>
    <w:p>
      <w:pPr>
        <w:spacing w:after="0" w:line="1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 Without limiting the generality of any other provision hereof,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hereby expressly acknowledges that Section 10.8 (“</w:t>
      </w:r>
      <w:r>
        <w:rPr>
          <w:rFonts w:ascii="Times New Roman" w:cs="Times New Roman" w:eastAsia="Times New Roman" w:hAnsi="Times New Roman"/>
          <w:sz w:val="20"/>
          <w:szCs w:val="20"/>
          <w:i w:val="1"/>
          <w:iCs w:val="1"/>
          <w:color w:val="auto"/>
        </w:rPr>
        <w:t>Lock-Up Period</w:t>
      </w:r>
      <w:r>
        <w:rPr>
          <w:rFonts w:ascii="Times New Roman" w:cs="Times New Roman" w:eastAsia="Times New Roman" w:hAnsi="Times New Roman"/>
          <w:sz w:val="20"/>
          <w:szCs w:val="20"/>
          <w:color w:val="auto"/>
        </w:rPr>
        <w:t>”) of the Plan is expressly incorporated into this Agreement and are applicable to the Shares issued pursuant to this Agreement. In addition, the Award and any Shares underlying the RSUs shall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subject to the applicable restrictions provided in the Sub-Plan, in particular, those restrictions imposed in the framework of Section 102(b) of the ITO with respect to the Required Holding Period.</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89" w:lineRule="exact"/>
        <w:rPr>
          <w:sz w:val="20"/>
          <w:szCs w:val="20"/>
          <w:color w:val="auto"/>
        </w:rPr>
      </w:pPr>
    </w:p>
    <w:p>
      <w:pPr>
        <w:jc w:val="both"/>
        <w:ind w:firstLine="1304"/>
        <w:spacing w:after="0" w:line="226"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5.2, Participant agrees and acknowledges that Participant will not transfer in any manner the Shares issued pursuant to this Agreement unless (a) the transfer is pursuant to an effective registration statement under the Securities Act or the rules and regulations in effect thereunder, or (b)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spacing w:after="0" w:line="204"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23"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spacing w:after="0" w:line="204"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or any equivalent non-U.S. postal service, when delivered by a nationally recognized express shipping company or upon receipt of a facsimile transmission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9" w:right="339" w:bottom="1440" w:gutter="0" w:footer="0" w:header="0"/>
        </w:sectPr>
      </w:pPr>
    </w:p>
    <w:bookmarkStart w:id="182" w:name="page183"/>
    <w:bookmarkEnd w:id="182"/>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this Agreement (including any exhibit hereto) and the Trust Agreement</w:t>
      </w:r>
    </w:p>
    <w:p>
      <w:pPr>
        <w:jc w:val="both"/>
        <w:spacing w:after="0" w:line="215" w:lineRule="auto"/>
        <w:rPr>
          <w:sz w:val="20"/>
          <w:szCs w:val="20"/>
          <w:color w:val="auto"/>
        </w:rPr>
      </w:pPr>
      <w:r>
        <w:rPr>
          <w:rFonts w:ascii="Times New Roman" w:cs="Times New Roman" w:eastAsia="Times New Roman" w:hAnsi="Times New Roman"/>
          <w:sz w:val="19"/>
          <w:szCs w:val="19"/>
          <w:color w:val="auto"/>
        </w:rPr>
        <w:t>constitute the entire agreement of the parties and supersede in their entirety all prior undertakings and agreements of the Company and Participant with respect to the subject matter hereof, including without limitation, the provisions of any employment agreement or offer letter</w:t>
      </w:r>
    </w:p>
    <w:p>
      <w:pPr>
        <w:spacing w:after="0" w:line="211" w:lineRule="auto"/>
        <w:rPr>
          <w:sz w:val="20"/>
          <w:szCs w:val="20"/>
          <w:color w:val="auto"/>
        </w:rPr>
      </w:pPr>
      <w:r>
        <w:rPr>
          <w:rFonts w:ascii="Times New Roman" w:cs="Times New Roman" w:eastAsia="Times New Roman" w:hAnsi="Times New Roman"/>
          <w:sz w:val="20"/>
          <w:szCs w:val="20"/>
          <w:color w:val="auto"/>
        </w:rPr>
        <w:t>regarding equity awards to be awarded to Participant by the Company, or any other oral, implied or written promises, statements,</w:t>
      </w:r>
    </w:p>
    <w:p>
      <w:pPr>
        <w:jc w:val="both"/>
        <w:spacing w:after="0" w:line="204" w:lineRule="auto"/>
        <w:rPr>
          <w:sz w:val="20"/>
          <w:szCs w:val="20"/>
          <w:color w:val="auto"/>
        </w:rPr>
      </w:pPr>
      <w:r>
        <w:rPr>
          <w:rFonts w:ascii="Times New Roman" w:cs="Times New Roman" w:eastAsia="Times New Roman" w:hAnsi="Times New Roman"/>
          <w:sz w:val="20"/>
          <w:szCs w:val="20"/>
          <w:color w:val="auto"/>
        </w:rPr>
        <w:t>understandings, undertakings or agreements by the Company or any of its representatives regarding equity awards to be awarded to Participant by the Company. Participant hereby agrees to execute such further instruments and to take such further action as the Company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requests to carry out the purposes and intent of this Agreement and the Plan, including, without limitation, restrictions on the transferability of the Shares. This Agreement may be amended by the Company in accordance with Section 9.6 of the Plan.</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jc w:val="both"/>
        <w:spacing w:after="0" w:line="215"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211" w:lineRule="auto"/>
        <w:rPr>
          <w:sz w:val="20"/>
          <w:szCs w:val="20"/>
          <w:color w:val="auto"/>
        </w:rPr>
      </w:pPr>
      <w:r>
        <w:rPr>
          <w:rFonts w:ascii="Times New Roman" w:cs="Times New Roman" w:eastAsia="Times New Roman" w:hAnsi="Times New Roman"/>
          <w:sz w:val="20"/>
          <w:szCs w:val="20"/>
          <w:color w:val="auto"/>
        </w:rPr>
        <w:t>creditor of the Company with respect to amounts credited and benefits payable, if any, with respect to the RSUs and the Dividend</w:t>
      </w:r>
    </w:p>
    <w:p>
      <w:pPr>
        <w:jc w:val="both"/>
        <w:spacing w:after="0" w:line="221" w:lineRule="auto"/>
        <w:rPr>
          <w:sz w:val="20"/>
          <w:szCs w:val="20"/>
          <w:color w:val="auto"/>
        </w:rPr>
      </w:pPr>
      <w:r>
        <w:rPr>
          <w:rFonts w:ascii="Times New Roman" w:cs="Times New Roman" w:eastAsia="Times New Roman" w:hAnsi="Times New Roman"/>
          <w:sz w:val="20"/>
          <w:szCs w:val="20"/>
          <w:color w:val="auto"/>
        </w:rPr>
        <w:t>Equivalents, and rights no greater than the right to receive the Shares as a general unsecured creditor with respect to the RSUs and the Dividend Equivalents, as and when settled pursuant to the terms of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u w:val="single" w:color="auto"/>
          <w:color w:val="auto"/>
        </w:rPr>
        <w:t>Rights as a Stockholder</w:t>
      </w:r>
      <w:r>
        <w:rPr>
          <w:rFonts w:ascii="Times New Roman" w:cs="Times New Roman" w:eastAsia="Times New Roman" w:hAnsi="Times New Roman"/>
          <w:sz w:val="19"/>
          <w:szCs w:val="19"/>
          <w:color w:val="auto"/>
        </w:rPr>
        <w:t>. Neither Participant nor any person claiming under or through Participant will have any of the rights</w:t>
      </w:r>
    </w:p>
    <w:p>
      <w:pPr>
        <w:jc w:val="both"/>
        <w:spacing w:after="0" w:line="204" w:lineRule="auto"/>
        <w:rPr>
          <w:sz w:val="20"/>
          <w:szCs w:val="20"/>
          <w:color w:val="auto"/>
        </w:rPr>
      </w:pPr>
      <w:r>
        <w:rPr>
          <w:rFonts w:ascii="Times New Roman" w:cs="Times New Roman" w:eastAsia="Times New Roman" w:hAnsi="Times New Roman"/>
          <w:sz w:val="20"/>
          <w:szCs w:val="20"/>
          <w:color w:val="auto"/>
        </w:rPr>
        <w:t>or privileges of a stockholder of the Company in respect of any Shares deliverable hereunder unless and until certificates representing such Shares (which may be in book-entry form) will have been issued and recorded on the records of the Company or its transfer agents or</w:t>
      </w:r>
    </w:p>
    <w:p>
      <w:pPr>
        <w:spacing w:after="0" w:line="223" w:lineRule="auto"/>
        <w:rPr>
          <w:sz w:val="20"/>
          <w:szCs w:val="20"/>
          <w:color w:val="auto"/>
        </w:rPr>
      </w:pPr>
      <w:r>
        <w:rPr>
          <w:rFonts w:ascii="Times New Roman" w:cs="Times New Roman" w:eastAsia="Times New Roman" w:hAnsi="Times New Roman"/>
          <w:sz w:val="19"/>
          <w:szCs w:val="19"/>
          <w:color w:val="auto"/>
        </w:rPr>
        <w:t>registrars, and delivered to Participant or the Trustee (including through electronic delivery to a brokerage account unless otherwise required</w:t>
      </w:r>
    </w:p>
    <w:p>
      <w:pPr>
        <w:jc w:val="both"/>
        <w:spacing w:after="0" w:line="204" w:lineRule="auto"/>
        <w:rPr>
          <w:sz w:val="20"/>
          <w:szCs w:val="20"/>
          <w:color w:val="auto"/>
        </w:rPr>
      </w:pPr>
      <w:r>
        <w:rPr>
          <w:rFonts w:ascii="Times New Roman" w:cs="Times New Roman" w:eastAsia="Times New Roman" w:hAnsi="Times New Roman"/>
          <w:sz w:val="20"/>
          <w:szCs w:val="20"/>
          <w:color w:val="auto"/>
        </w:rPr>
        <w:t>by the Trustee for compliance with Section 102). Except as otherwise provided herein, after such issuance, recordation and delivery, Participant or the Trustee, as applicable, will have all the rights of a stockholder of the Company with respect to such Shares, including,</w:t>
      </w:r>
    </w:p>
    <w:p>
      <w:pPr>
        <w:spacing w:after="0" w:line="211" w:lineRule="auto"/>
        <w:rPr>
          <w:sz w:val="20"/>
          <w:szCs w:val="20"/>
          <w:color w:val="auto"/>
        </w:rPr>
      </w:pPr>
      <w:r>
        <w:rPr>
          <w:rFonts w:ascii="Times New Roman" w:cs="Times New Roman" w:eastAsia="Times New Roman" w:hAnsi="Times New Roman"/>
          <w:sz w:val="20"/>
          <w:szCs w:val="20"/>
          <w:color w:val="auto"/>
        </w:rPr>
        <w:t>without limitation, the right to receipt of dividends and distributions on such Shares, except that any and all rights issued in respect of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Shares, including bonus shares but excluding cash dividends (“</w:t>
      </w:r>
      <w:r>
        <w:rPr>
          <w:rFonts w:ascii="Times New Roman" w:cs="Times New Roman" w:eastAsia="Times New Roman" w:hAnsi="Times New Roman"/>
          <w:sz w:val="20"/>
          <w:szCs w:val="20"/>
          <w:b w:val="1"/>
          <w:bCs w:val="1"/>
          <w:i w:val="1"/>
          <w:iCs w:val="1"/>
          <w:color w:val="auto"/>
        </w:rPr>
        <w:t>Rights</w:t>
      </w:r>
      <w:r>
        <w:rPr>
          <w:rFonts w:ascii="Times New Roman" w:cs="Times New Roman" w:eastAsia="Times New Roman" w:hAnsi="Times New Roman"/>
          <w:sz w:val="20"/>
          <w:szCs w:val="20"/>
          <w:color w:val="auto"/>
        </w:rPr>
        <w:t>”), shall be deposited with the Trustee and held thereby until the lapse of the Required Holding Period, and such Rights shall be subject to Section 102. Notwithstanding the aforesaid, Participant may sell Shares</w:t>
      </w:r>
    </w:p>
    <w:p>
      <w:pPr>
        <w:spacing w:after="0" w:line="211" w:lineRule="auto"/>
        <w:rPr>
          <w:sz w:val="20"/>
          <w:szCs w:val="20"/>
          <w:color w:val="auto"/>
        </w:rPr>
      </w:pPr>
      <w:r>
        <w:rPr>
          <w:rFonts w:ascii="Times New Roman" w:cs="Times New Roman" w:eastAsia="Times New Roman" w:hAnsi="Times New Roman"/>
          <w:sz w:val="20"/>
          <w:szCs w:val="20"/>
          <w:color w:val="auto"/>
        </w:rPr>
        <w:t>or Rights or execute a transfer of such Shares or Rights to Participant prior to the lapse of the Required Holding Period, provided that tax is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withheld at source by the Company in accordance with the ITO, the Rules and the terms and conditions of the Trust Agreement. In such case, Participant’s gains shall be classified as ordinary income and Participant shall be subject to tax on such income at marginal tax rates plus</w:t>
      </w:r>
    </w:p>
    <w:p>
      <w:pPr>
        <w:jc w:val="both"/>
        <w:spacing w:after="0" w:line="228" w:lineRule="auto"/>
        <w:rPr>
          <w:sz w:val="20"/>
          <w:szCs w:val="20"/>
          <w:color w:val="auto"/>
        </w:rPr>
      </w:pPr>
      <w:r>
        <w:rPr>
          <w:rFonts w:ascii="Times New Roman" w:cs="Times New Roman" w:eastAsia="Times New Roman" w:hAnsi="Times New Roman"/>
          <w:sz w:val="20"/>
          <w:szCs w:val="20"/>
          <w:color w:val="auto"/>
        </w:rPr>
        <w:t>social security and national health insurance payments. The issuance of Shares under this Award to Participant shall be subject to Participant’s satisfaction of the conditions under Section 10.14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9" w:right="339" w:bottom="1440" w:gutter="0" w:footer="0" w:header="0"/>
        </w:sectPr>
      </w:pPr>
    </w:p>
    <w:bookmarkStart w:id="183" w:name="page184"/>
    <w:bookmarkEnd w:id="18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the Plan, the Grant Notice or this Agreement confers upon Participant any right to</w:t>
      </w:r>
    </w:p>
    <w:p>
      <w:pPr>
        <w:spacing w:after="0" w:line="204" w:lineRule="auto"/>
        <w:rPr>
          <w:sz w:val="20"/>
          <w:szCs w:val="20"/>
          <w:color w:val="auto"/>
        </w:rPr>
      </w:pPr>
      <w:r>
        <w:rPr>
          <w:rFonts w:ascii="Times New Roman" w:cs="Times New Roman" w:eastAsia="Times New Roman" w:hAnsi="Times New Roman"/>
          <w:sz w:val="20"/>
          <w:szCs w:val="20"/>
          <w:color w:val="auto"/>
        </w:rPr>
        <w:t>continue in the employ or service of the Company or any Related Entity or interferes with or restricts in any way the rights of the Company and its Related Entities, which rights are hereby expressly reserved, to discharge or terminate the services of Participant at any time for any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reason whatsoever, with or without Cause, except to the extent expressly provided otherwise in a written agreement between the Company or a Related Entity and Participant.</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5.14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provisions of the Plan and all Awards made thereunder, including the RSUs and the Dividend Equivalents, shall be governed by and interpreted in accordance with the laws of the State of Delaware, disregarding choice-of-law principles</w:t>
      </w:r>
    </w:p>
    <w:p>
      <w:pPr>
        <w:spacing w:after="0"/>
        <w:rPr>
          <w:sz w:val="20"/>
          <w:szCs w:val="20"/>
          <w:color w:val="auto"/>
        </w:rPr>
      </w:pPr>
      <w:r>
        <w:rPr>
          <w:rFonts w:ascii="Times New Roman" w:cs="Times New Roman" w:eastAsia="Times New Roman" w:hAnsi="Times New Roman"/>
          <w:sz w:val="20"/>
          <w:szCs w:val="20"/>
          <w:color w:val="auto"/>
        </w:rPr>
        <w:t>of the law of any state that would require the application of the laws of a jurisdiction other than such state.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19"/>
          <w:szCs w:val="19"/>
          <w:u w:val="single" w:color="auto"/>
          <w:color w:val="auto"/>
        </w:rPr>
        <w:t>Section 102 Compliance.</w:t>
      </w:r>
    </w:p>
    <w:p>
      <w:pPr>
        <w:spacing w:after="0" w:line="189" w:lineRule="exact"/>
        <w:rPr>
          <w:sz w:val="20"/>
          <w:szCs w:val="20"/>
          <w:color w:val="auto"/>
        </w:rPr>
      </w:pPr>
    </w:p>
    <w:p>
      <w:pPr>
        <w:ind w:firstLine="487"/>
        <w:spacing w:after="0" w:line="283" w:lineRule="auto"/>
        <w:tabs>
          <w:tab w:leader="none" w:pos="987"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102 Capital Gains Track Grant, the Award shall be deposited with the Trustee as required by law to qualify under Section 102, for the benefit of Participant. Participant shall comply with the ITO, the Rules, and the terms and conditions of the Trust Agreement.</w:t>
      </w:r>
    </w:p>
    <w:p>
      <w:pPr>
        <w:spacing w:after="0" w:line="173" w:lineRule="exact"/>
        <w:rPr>
          <w:rFonts w:ascii="Times New Roman" w:cs="Times New Roman" w:eastAsia="Times New Roman" w:hAnsi="Times New Roman"/>
          <w:sz w:val="20"/>
          <w:szCs w:val="20"/>
          <w:color w:val="auto"/>
        </w:rPr>
      </w:pPr>
    </w:p>
    <w:p>
      <w:pPr>
        <w:jc w:val="both"/>
        <w:ind w:firstLine="438"/>
        <w:spacing w:after="0" w:line="268" w:lineRule="auto"/>
        <w:tabs>
          <w:tab w:leader="none" w:pos="87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hold the Award or any Shares issued upon settlement of the Award for the Required Holding Period, as set forth in the Sub-Plan. It is acknowledged that as long as the Shares are held by the Trustee, the Trustee shall be the registered shareholder of the Shares, and hold such Shares for the benefit of Participant.</w:t>
      </w:r>
    </w:p>
    <w:p>
      <w:pPr>
        <w:spacing w:after="0" w:line="188"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20"/>
          <w:szCs w:val="20"/>
          <w:color w:val="auto"/>
        </w:rPr>
        <w:t>(c) In the event that Participant disposes of any Shares underlying the Award prior to the expiration of the Required Holding Period or directs a transfer of the Shares underlying the Award from the Trustee to Participant prior to the expiration of the Required Holding Period, Participant acknowledges and agrees that any additional gains from the sale of such Shares shall not qualify for the tax treatment under the 102 Capital Gains Track and shall be subject to taxation in Israel in accordance with ordinary income tax principles. Participant further acknowledges and agrees that in such instance, Participant shall be liable for the employer’s component of payments to the Israeli National Insurance Institute (to the extent such payments by Participant’s employer are required).</w:t>
      </w:r>
    </w:p>
    <w:p>
      <w:pPr>
        <w:spacing w:after="0" w:line="219" w:lineRule="exact"/>
        <w:rPr>
          <w:sz w:val="20"/>
          <w:szCs w:val="20"/>
          <w:color w:val="auto"/>
        </w:rPr>
      </w:pPr>
    </w:p>
    <w:p>
      <w:pPr>
        <w:ind w:firstLine="407"/>
        <w:spacing w:after="0" w:line="269" w:lineRule="auto"/>
        <w:tabs>
          <w:tab w:leader="none" w:pos="87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undertakes to release the Trustee from any liability in respect of any action or decision duly taken and bona fide executed in relation to the Plan, or any Award or Shares issued to Participant thereunder.</w:t>
      </w:r>
    </w:p>
    <w:p>
      <w:pPr>
        <w:spacing w:after="0" w:line="199" w:lineRule="exact"/>
        <w:rPr>
          <w:rFonts w:ascii="Times New Roman" w:cs="Times New Roman" w:eastAsia="Times New Roman" w:hAnsi="Times New Roman"/>
          <w:sz w:val="20"/>
          <w:szCs w:val="20"/>
          <w:color w:val="auto"/>
        </w:rPr>
      </w:pPr>
    </w:p>
    <w:p>
      <w:pPr>
        <w:ind w:firstLine="627"/>
        <w:spacing w:after="0" w:line="283" w:lineRule="auto"/>
        <w:tabs>
          <w:tab w:leader="none" w:pos="122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confirms that Participant shall execute any and all documents which the Company or the Trustee may reasonably determine to be necessary in order to comply with the ITO and particularly, the Rules.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w:t>
      </w:r>
    </w:p>
    <w:p>
      <w:pPr>
        <w:spacing w:after="0" w:line="204" w:lineRule="auto"/>
        <w:rPr>
          <w:sz w:val="20"/>
          <w:szCs w:val="20"/>
          <w:color w:val="auto"/>
        </w:rPr>
      </w:pPr>
      <w:r>
        <w:rPr>
          <w:rFonts w:ascii="Times New Roman" w:cs="Times New Roman" w:eastAsia="Times New Roman" w:hAnsi="Times New Roman"/>
          <w:sz w:val="20"/>
          <w:szCs w:val="20"/>
          <w:color w:val="auto"/>
        </w:rPr>
        <w:t>Participant is subject to Section 16 of the Exchange Act, the Plan, the Grant Notice, this Agreement and the RSUs will be subject to any additional limitations set forth in any applicable exemptive rule under Section 16 of the Exchange Act (including any amendment to Rule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394"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9"/>
          <w:szCs w:val="19"/>
          <w:color w:val="auto"/>
        </w:rPr>
        <w:t>* * * * *</w:t>
      </w:r>
    </w:p>
    <w:p>
      <w:pPr>
        <w:sectPr>
          <w:pgSz w:w="11900" w:h="16838" w:orient="portrait"/>
          <w:cols w:equalWidth="0" w:num="1">
            <w:col w:w="9019"/>
          </w:cols>
          <w:pgMar w:left="144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A-7</w:t>
      </w:r>
    </w:p>
    <w:p>
      <w:pPr>
        <w:sectPr>
          <w:pgSz w:w="11900" w:h="16838" w:orient="portrait"/>
          <w:cols w:equalWidth="0" w:num="1">
            <w:col w:w="9019"/>
          </w:cols>
          <w:pgMar w:left="1440" w:top="1413" w:right="1440" w:bottom="1440" w:gutter="0" w:footer="0" w:header="0"/>
          <w:type w:val="continuous"/>
        </w:sectPr>
      </w:pPr>
    </w:p>
    <w:bookmarkStart w:id="185" w:name="page186"/>
    <w:bookmarkEnd w:id="185"/>
    <w:p>
      <w:pPr>
        <w:jc w:val="right"/>
        <w:spacing w:after="0"/>
        <w:rPr>
          <w:sz w:val="20"/>
          <w:szCs w:val="20"/>
          <w:color w:val="auto"/>
        </w:rPr>
      </w:pPr>
      <w:r>
        <w:rPr>
          <w:rFonts w:ascii="Times New Roman" w:cs="Times New Roman" w:eastAsia="Times New Roman" w:hAnsi="Times New Roman"/>
          <w:sz w:val="20"/>
          <w:szCs w:val="20"/>
          <w:b w:val="1"/>
          <w:bCs w:val="1"/>
          <w:color w:val="auto"/>
        </w:rPr>
        <w:t>Exhibit 10.6.5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40575" cy="6254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714057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 FOR ISRAELI PARTICIPANTS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and the Sub-Plan for Israeli Participants (the “</w:t>
      </w:r>
      <w:r>
        <w:rPr>
          <w:rFonts w:ascii="Times New Roman" w:cs="Times New Roman" w:eastAsia="Times New Roman" w:hAnsi="Times New Roman"/>
          <w:sz w:val="20"/>
          <w:szCs w:val="20"/>
          <w:b w:val="1"/>
          <w:bCs w:val="1"/>
          <w:i w:val="1"/>
          <w:iCs w:val="1"/>
          <w:color w:val="auto"/>
        </w:rPr>
        <w:t>Sub-Plan</w:t>
      </w:r>
      <w:r>
        <w:rPr>
          <w:rFonts w:ascii="Times New Roman" w:cs="Times New Roman" w:eastAsia="Times New Roman" w:hAnsi="Times New Roman"/>
          <w:sz w:val="20"/>
          <w:szCs w:val="20"/>
          <w:color w:val="auto"/>
        </w:rPr>
        <w:t>,” and jointly with the 2020 Incentive Award Plan, as each may be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except where the context otherwise requires), in each case,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Section 102(b) of the ITO and the Rules promulgated in connection therewith and the Trust Agreement entered into between the Trustee and the Company, a copy of which has been provided to Participant or made available for Participant’s review.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280" w:type="dxa"/>
            <w:vAlign w:val="bottom"/>
          </w:tcPr>
          <w:p>
            <w:pPr>
              <w:ind w:left="880"/>
              <w:spacing w:after="0"/>
              <w:rPr>
                <w:sz w:val="20"/>
                <w:szCs w:val="20"/>
                <w:color w:val="auto"/>
              </w:rPr>
            </w:pPr>
            <w:r>
              <w:rPr>
                <w:rFonts w:ascii="Times New Roman" w:cs="Times New Roman" w:eastAsia="Times New Roman" w:hAnsi="Times New Roman"/>
                <w:sz w:val="20"/>
                <w:szCs w:val="20"/>
                <w:i w:val="1"/>
                <w:iCs w:val="1"/>
                <w:color w:val="auto"/>
              </w:rPr>
              <w:t>[Insert Participant Name]</w:t>
            </w:r>
          </w:p>
        </w:tc>
        <w:tc>
          <w:tcPr>
            <w:tcW w:w="0" w:type="dxa"/>
            <w:vAlign w:val="bottom"/>
          </w:tcPr>
          <w:p>
            <w:pPr>
              <w:spacing w:after="0"/>
              <w:rPr>
                <w:sz w:val="1"/>
                <w:szCs w:val="1"/>
                <w:color w:val="auto"/>
              </w:rPr>
            </w:pP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280" w:type="dxa"/>
            <w:vAlign w:val="bottom"/>
          </w:tcPr>
          <w:p>
            <w:pPr>
              <w:ind w:left="880"/>
              <w:spacing w:after="0"/>
              <w:rPr>
                <w:sz w:val="20"/>
                <w:szCs w:val="20"/>
                <w:color w:val="auto"/>
              </w:rPr>
            </w:pPr>
            <w:r>
              <w:rPr>
                <w:rFonts w:ascii="Times New Roman" w:cs="Times New Roman" w:eastAsia="Times New Roman" w:hAnsi="Times New Roman"/>
                <w:sz w:val="20"/>
                <w:szCs w:val="20"/>
                <w:i w:val="1"/>
                <w:iCs w:val="1"/>
                <w:color w:val="auto"/>
              </w:rPr>
              <w:t>[Insert Grant Date]</w:t>
            </w:r>
          </w:p>
        </w:tc>
        <w:tc>
          <w:tcPr>
            <w:tcW w:w="0" w:type="dxa"/>
            <w:vAlign w:val="bottom"/>
          </w:tcPr>
          <w:p>
            <w:pPr>
              <w:spacing w:after="0"/>
              <w:rPr>
                <w:sz w:val="1"/>
                <w:szCs w:val="1"/>
                <w:color w:val="auto"/>
              </w:rPr>
            </w:pPr>
          </w:p>
        </w:tc>
      </w:tr>
      <w:tr>
        <w:trPr>
          <w:trHeight w:val="500"/>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4280" w:type="dxa"/>
            <w:vAlign w:val="bottom"/>
            <w:vMerge w:val="restart"/>
          </w:tcPr>
          <w:p>
            <w:pPr>
              <w:ind w:left="880"/>
              <w:spacing w:after="0"/>
              <w:rPr>
                <w:sz w:val="20"/>
                <w:szCs w:val="20"/>
                <w:color w:val="auto"/>
              </w:rPr>
            </w:pPr>
            <w:r>
              <w:rPr>
                <w:rFonts w:ascii="Times New Roman" w:cs="Times New Roman" w:eastAsia="Times New Roman" w:hAnsi="Times New Roman"/>
                <w:sz w:val="20"/>
                <w:szCs w:val="20"/>
                <w:i w:val="1"/>
                <w:iCs w:val="1"/>
                <w:color w:val="auto"/>
              </w:rPr>
              <w:t>[Insert Number of RSUs]</w:t>
            </w:r>
          </w:p>
        </w:tc>
        <w:tc>
          <w:tcPr>
            <w:tcW w:w="0" w:type="dxa"/>
            <w:vAlign w:val="bottom"/>
          </w:tcPr>
          <w:p>
            <w:pPr>
              <w:spacing w:after="0"/>
              <w:rPr>
                <w:sz w:val="1"/>
                <w:szCs w:val="1"/>
                <w:color w:val="auto"/>
              </w:rPr>
            </w:pPr>
          </w:p>
        </w:tc>
      </w:tr>
      <w:tr>
        <w:trPr>
          <w:trHeight w:val="81"/>
        </w:trPr>
        <w:tc>
          <w:tcPr>
            <w:tcW w:w="3380" w:type="dxa"/>
            <w:vAlign w:val="bottom"/>
          </w:tcPr>
          <w:p>
            <w:pPr>
              <w:spacing w:after="0"/>
              <w:rPr>
                <w:sz w:val="7"/>
                <w:szCs w:val="7"/>
                <w:color w:val="auto"/>
              </w:rPr>
            </w:pPr>
          </w:p>
        </w:tc>
        <w:tc>
          <w:tcPr>
            <w:tcW w:w="4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4280" w:type="dxa"/>
            <w:vAlign w:val="bottom"/>
          </w:tcPr>
          <w:p>
            <w:pPr>
              <w:ind w:left="940"/>
              <w:spacing w:after="0"/>
              <w:rPr>
                <w:sz w:val="20"/>
                <w:szCs w:val="20"/>
                <w:color w:val="auto"/>
              </w:rPr>
            </w:pPr>
            <w:r>
              <w:rPr>
                <w:rFonts w:ascii="Times New Roman" w:cs="Times New Roman" w:eastAsia="Times New Roman" w:hAnsi="Times New Roman"/>
                <w:sz w:val="20"/>
                <w:szCs w:val="20"/>
                <w:i w:val="1"/>
                <w:iCs w:val="1"/>
                <w:color w:val="auto"/>
              </w:rPr>
              <w:t>[Insert Vesting Commencement Date]</w:t>
            </w:r>
          </w:p>
        </w:tc>
        <w:tc>
          <w:tcPr>
            <w:tcW w:w="0" w:type="dxa"/>
            <w:vAlign w:val="bottom"/>
          </w:tcPr>
          <w:p>
            <w:pPr>
              <w:spacing w:after="0"/>
              <w:rPr>
                <w:sz w:val="1"/>
                <w:szCs w:val="1"/>
                <w:color w:val="auto"/>
              </w:rPr>
            </w:pPr>
          </w:p>
        </w:tc>
      </w:tr>
      <w:tr>
        <w:trPr>
          <w:trHeight w:val="500"/>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4280" w:type="dxa"/>
            <w:vAlign w:val="bottom"/>
          </w:tcPr>
          <w:p>
            <w:pPr>
              <w:ind w:left="940"/>
              <w:spacing w:after="0"/>
              <w:rPr>
                <w:sz w:val="20"/>
                <w:szCs w:val="20"/>
                <w:color w:val="auto"/>
              </w:rPr>
            </w:pPr>
            <w:r>
              <w:rPr>
                <w:rFonts w:ascii="Times New Roman" w:cs="Times New Roman" w:eastAsia="Times New Roman" w:hAnsi="Times New Roman"/>
                <w:sz w:val="20"/>
                <w:szCs w:val="20"/>
                <w:i w:val="1"/>
                <w:iCs w:val="1"/>
                <w:color w:val="auto"/>
                <w:w w:val="97"/>
              </w:rPr>
              <w:t>[To be specified in individual agreements]</w:t>
            </w:r>
          </w:p>
        </w:tc>
        <w:tc>
          <w:tcPr>
            <w:tcW w:w="0" w:type="dxa"/>
            <w:vAlign w:val="bottom"/>
          </w:tcPr>
          <w:p>
            <w:pPr>
              <w:spacing w:after="0"/>
              <w:rPr>
                <w:sz w:val="1"/>
                <w:szCs w:val="1"/>
                <w:color w:val="auto"/>
              </w:rPr>
            </w:pPr>
          </w:p>
        </w:tc>
      </w:tr>
      <w:tr>
        <w:trPr>
          <w:trHeight w:val="499"/>
        </w:trPr>
        <w:tc>
          <w:tcPr>
            <w:tcW w:w="3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 Status:</w:t>
            </w:r>
          </w:p>
        </w:tc>
        <w:tc>
          <w:tcPr>
            <w:tcW w:w="42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102 Capital Gains Track</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the Agreement, Section 102(b) of the ITO and the Rules promulgated in connection therewith, and the Trust Agreement. In addition, by Participant’s signature below, Participant agrees that the Award shall be issued to the Trustee to hold on Participant’s behalf, pursuant to the terms of the ITO, the Rules and the Trust Agreement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Furthermore, by Participant’s signature below, Participant confirms that the Company, its assignees and successors shall be under no duty to ensure, and no representation or commitment is made, that the Award qualifies or shall qualify under any particular tax treatment such as the “capital gains track” under Section 102, nor shall the Company, its assignees or successors be required to take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459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4" w:lineRule="exact"/>
        <w:rPr>
          <w:sz w:val="20"/>
          <w:szCs w:val="20"/>
          <w:color w:val="auto"/>
        </w:rPr>
      </w:pPr>
    </w:p>
    <w:p>
      <w:pPr>
        <w:jc w:val="both"/>
        <w:ind w:left="140" w:hanging="132"/>
        <w:spacing w:after="0" w:line="231" w:lineRule="auto"/>
        <w:tabs>
          <w:tab w:leader="none" w:pos="137" w:val="left"/>
        </w:tabs>
        <w:numPr>
          <w:ilvl w:val="0"/>
          <w:numId w:val="7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Any reference to issuance of Awards and underlying Shares to the Trustee to be held in Trust for the benefit of the Participant shall mean the supervision of the Trustee on such Awards and underlying Shares, including the application of any tax withholding requirements thereunder, pursuant to a relevant tax ruling to be obtained from the Israeli Tax Authority.</w:t>
      </w:r>
    </w:p>
    <w:p>
      <w:pPr>
        <w:sectPr>
          <w:pgSz w:w="11900" w:h="16838" w:orient="portrait"/>
          <w:cols w:equalWidth="0" w:num="1">
            <w:col w:w="11240"/>
          </w:cols>
          <w:pgMar w:left="320" w:top="100" w:right="339" w:bottom="1440" w:gutter="0" w:footer="0" w:header="0"/>
        </w:sectPr>
      </w:pPr>
    </w:p>
    <w:bookmarkStart w:id="186" w:name="page187"/>
    <w:bookmarkEnd w:id="186"/>
    <w:p>
      <w:pPr>
        <w:jc w:val="both"/>
        <w:spacing w:after="0" w:line="250" w:lineRule="auto"/>
        <w:rPr>
          <w:sz w:val="20"/>
          <w:szCs w:val="20"/>
          <w:color w:val="auto"/>
        </w:rPr>
      </w:pPr>
      <w:r>
        <w:rPr>
          <w:rFonts w:ascii="Times New Roman" w:cs="Times New Roman" w:eastAsia="Times New Roman" w:hAnsi="Times New Roman"/>
          <w:sz w:val="20"/>
          <w:szCs w:val="20"/>
          <w:color w:val="auto"/>
        </w:rPr>
        <w:t>action for the qualification of any Award under such tax treatment. The Company shall have no liability of any kind or nature in the event that, as a result of Applicable Laws, actions by the Trustee or any position or interpretation of the ITA, or for any other reason whatsoever, an Award shall be deemed not to qualify for any particular tax treatment. Participant has reviewed the Plan, this Grant Notice, the Agreement and the Trust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In addition, Participant confirms that he/she is familiar with the terms and provisions of Section 102 of the ITO, particularly the 102 Capital Gains Track described in subsection (b)(2) thereof, and agrees that he/she shall not require the Trustee to release the Award or Shares to him/her, or to sell the Award or Shares to a third party, during the Required Holding Period, as set forth in the Sub-Plan, unless permitted to do so by Applicable Laws.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4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480"/>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By:</w:t>
            </w:r>
          </w:p>
        </w:tc>
      </w:tr>
      <w:tr>
        <w:trPr>
          <w:trHeight w:val="480"/>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Print Name:</w:t>
            </w:r>
          </w:p>
        </w:tc>
      </w:tr>
      <w:tr>
        <w:trPr>
          <w:trHeight w:val="479"/>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ID: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-642620</wp:posOffset>
            </wp:positionV>
            <wp:extent cx="1257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-325120</wp:posOffset>
            </wp:positionV>
            <wp:extent cx="1257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1257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 or in the Sub-Plan.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 and Dividend Equivalents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RSUs have vested. Each vested portion of the RSU has a corresponding Dividend Equivalent as described in Article III.</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w:t>
      </w:r>
    </w:p>
    <w:p>
      <w:pPr>
        <w:jc w:val="both"/>
        <w:spacing w:after="0" w:line="204" w:lineRule="auto"/>
        <w:rPr>
          <w:sz w:val="20"/>
          <w:szCs w:val="20"/>
          <w:color w:val="auto"/>
        </w:rPr>
      </w:pPr>
      <w:r>
        <w:rPr>
          <w:rFonts w:ascii="Times New Roman" w:cs="Times New Roman" w:eastAsia="Times New Roman" w:hAnsi="Times New Roman"/>
          <w:sz w:val="20"/>
          <w:szCs w:val="20"/>
          <w:color w:val="auto"/>
        </w:rPr>
        <w:t>except that any fraction of an RSU that would otherwise be vested will be accumulated and will vest only when a whole RSU has accumulated. Except as provided in the Grant Notice, in the event of Participant’s Termination of Service for any reason, all unvested RSUs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and any unpaid Dividend Equivalents will immediately and automatically be cancelled and forfeited, except as otherwise determined by the Administrator or provided in a binding written agreement between Participant and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p>
    <w:p>
      <w:pPr>
        <w:spacing w:after="0" w:line="189" w:lineRule="exact"/>
        <w:rPr>
          <w:sz w:val="20"/>
          <w:szCs w:val="20"/>
          <w:color w:val="auto"/>
        </w:rPr>
      </w:pPr>
    </w:p>
    <w:p>
      <w:pPr>
        <w:jc w:val="both"/>
        <w:ind w:right="20" w:firstLine="1304"/>
        <w:spacing w:after="0" w:line="226"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will be paid in Shares to the Trustee as soon as administratively practicable after the vesting of the applicable RSU, but in no event more than sixty days after the applicable vesting date, who will hold them in trust for the benefit of Participant in accordance with the terms and provisions of this Agreement, the Plan and the Trust Agreement.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7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notify the Trustee of the distribution of any Shares in respect of the RSUs set forth in this Agreement. If such issuance occurs during the Required Holding Period, the Shares issued upon the settlement of the RSUs shall be issued in the name of the Trustee, and held in trust on Participant’s behalf by the Trustee. In the event that such settlement occurs after the end of the Required Holding Period, the Shares issued upon the settlement of the RSUs shall either (i) be issued in the name of the Trustee, or (ii) be transferred to Participant directly, provided that Participant first complies with the tax provisions of the Plan and Sub-Plan, as provided in Section 4.2 below. In the event that Participant elects to have the Shares transferred to Participant without selling such Shares, Participant shall become liable to pay taxes immediately in accordance with the provisions of the ITO.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ectPr>
          <w:pgSz w:w="11900" w:h="16838" w:orient="portrait"/>
          <w:cols w:equalWidth="0" w:num="1">
            <w:col w:w="11240"/>
          </w:cols>
          <w:pgMar w:left="320" w:top="1409" w:right="339" w:bottom="1440" w:gutter="0" w:footer="0" w:header="0"/>
        </w:sectPr>
      </w:pPr>
    </w:p>
    <w:bookmarkStart w:id="188" w:name="page189"/>
    <w:bookmarkEnd w:id="18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Award of Dividend Equivalents</w:t>
      </w:r>
      <w:r>
        <w:rPr>
          <w:rFonts w:ascii="Times New Roman" w:cs="Times New Roman" w:eastAsia="Times New Roman" w:hAnsi="Times New Roman"/>
          <w:sz w:val="20"/>
          <w:szCs w:val="20"/>
          <w:color w:val="auto"/>
        </w:rPr>
        <w:t>. To the extent a portion of an RSU has vested, but such vested portion of such RSU has not</w:t>
      </w:r>
    </w:p>
    <w:p>
      <w:pPr>
        <w:spacing w:after="0" w:line="204" w:lineRule="auto"/>
        <w:rPr>
          <w:sz w:val="20"/>
          <w:szCs w:val="20"/>
          <w:color w:val="auto"/>
        </w:rPr>
      </w:pPr>
      <w:r>
        <w:rPr>
          <w:rFonts w:ascii="Times New Roman" w:cs="Times New Roman" w:eastAsia="Times New Roman" w:hAnsi="Times New Roman"/>
          <w:sz w:val="20"/>
          <w:szCs w:val="20"/>
          <w:color w:val="auto"/>
        </w:rPr>
        <w:t>yet settled pursuant to Section 2.2, such vested portion of such RSU granted hereunder is hereby granted in tandem with a corresponding Dividend Equivalent, which Dividend Equivalent shall remain outstanding from such date of vesting until the earlier of the settlement or</w:t>
      </w:r>
    </w:p>
    <w:p>
      <w:pPr>
        <w:spacing w:after="0" w:line="211" w:lineRule="auto"/>
        <w:rPr>
          <w:sz w:val="20"/>
          <w:szCs w:val="20"/>
          <w:color w:val="auto"/>
        </w:rPr>
      </w:pPr>
      <w:r>
        <w:rPr>
          <w:rFonts w:ascii="Times New Roman" w:cs="Times New Roman" w:eastAsia="Times New Roman" w:hAnsi="Times New Roman"/>
          <w:sz w:val="20"/>
          <w:szCs w:val="20"/>
          <w:color w:val="auto"/>
        </w:rPr>
        <w:t>forfeiture of the RSU to which it corresponds. Pursuant to each outstanding Dividend Equivalent, Participant shall be entitled to receive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additional RSUs (or cash as set forth in Section 3.4) equal to the value of any dividends, if any, that Participant would have received in respect of the Share underlying the RSU to which such Dividend Equivalent relates, had such Share been outstanding on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 record date.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RSUs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189" w:lineRule="exact"/>
        <w:rPr>
          <w:sz w:val="20"/>
          <w:szCs w:val="20"/>
          <w:color w:val="auto"/>
        </w:rPr>
      </w:pPr>
    </w:p>
    <w:p>
      <w:pPr>
        <w:jc w:val="both"/>
        <w:ind w:firstLine="1304"/>
        <w:spacing w:after="0" w:line="258" w:lineRule="auto"/>
        <w:tabs>
          <w:tab w:leader="none" w:pos="185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w:t>
      </w:r>
    </w:p>
    <w:p>
      <w:pPr>
        <w:spacing w:after="0" w:line="19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 or</w:t>
      </w:r>
    </w:p>
    <w:p>
      <w:pPr>
        <w:spacing w:after="0" w:line="188" w:lineRule="exact"/>
        <w:rPr>
          <w:rFonts w:ascii="Times New Roman" w:cs="Times New Roman" w:eastAsia="Times New Roman" w:hAnsi="Times New Roman"/>
          <w:sz w:val="20"/>
          <w:szCs w:val="20"/>
          <w:color w:val="auto"/>
        </w:rPr>
      </w:pPr>
    </w:p>
    <w:p>
      <w:pPr>
        <w:ind w:firstLine="1304"/>
        <w:spacing w:after="0" w:line="283" w:lineRule="auto"/>
        <w:tabs>
          <w:tab w:leader="none" w:pos="186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this Article III, in the event additional RSUs are credited to Participant as a result of any Dividend Equivalent right, the Company will provide Participant notice of the crediting of such additional RSUs.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RSUs Subject to Same Terms</w:t>
      </w:r>
      <w:r>
        <w:rPr>
          <w:rFonts w:ascii="Times New Roman" w:cs="Times New Roman" w:eastAsia="Times New Roman" w:hAnsi="Times New Roman"/>
          <w:sz w:val="20"/>
          <w:szCs w:val="20"/>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right shall automatically be cancelled on such forfeiture date or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4" w:right="339" w:bottom="1440" w:gutter="0" w:footer="0" w:header="0"/>
        </w:sectPr>
      </w:pPr>
    </w:p>
    <w:bookmarkStart w:id="189" w:name="page190"/>
    <w:bookmarkEnd w:id="189"/>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Tax Implications</w:t>
      </w:r>
      <w:r>
        <w:rPr>
          <w:rFonts w:ascii="Times New Roman" w:cs="Times New Roman" w:eastAsia="Times New Roman" w:hAnsi="Times New Roman"/>
          <w:sz w:val="20"/>
          <w:szCs w:val="20"/>
          <w:color w:val="auto"/>
        </w:rPr>
        <w:t>. Dividend Equivalent rights and amounts that become distributable in respect thereof shall be treated separately from the original RSUs and the rights arising in connection therewith for the purposes of qualification of the original RSUs under the Capital Gains Route and the entitlement to any tax benefits under Section 102 to the ITO.</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tax consequences of this Award and the transactions contemplated by the Grant Notice and this Agreement. Participant is relying solely on such advisors and not on any statements or representations of the Company and/or the Trustee or any of their agents.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p>
    <w:p>
      <w:pPr>
        <w:spacing w:after="0" w:line="189" w:lineRule="exact"/>
        <w:rPr>
          <w:sz w:val="20"/>
          <w:szCs w:val="20"/>
          <w:color w:val="auto"/>
        </w:rPr>
      </w:pPr>
    </w:p>
    <w:p>
      <w:pPr>
        <w:jc w:val="both"/>
        <w:ind w:firstLine="1304"/>
        <w:spacing w:after="0" w:line="234" w:lineRule="auto"/>
        <w:tabs>
          <w:tab w:leader="none" w:pos="193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any taxable event related to the RSUs or the Dividend Equivalents (the “</w:t>
      </w:r>
      <w:r>
        <w:rPr>
          <w:rFonts w:ascii="Times New Roman" w:cs="Times New Roman" w:eastAsia="Times New Roman" w:hAnsi="Times New Roman"/>
          <w:sz w:val="19"/>
          <w:szCs w:val="19"/>
          <w:b w:val="1"/>
          <w:bCs w:val="1"/>
          <w:i w:val="1"/>
          <w:iCs w:val="1"/>
          <w:color w:val="auto"/>
        </w:rPr>
        <w:t>Tax Withholding Obligation</w:t>
      </w:r>
      <w:r>
        <w:rPr>
          <w:rFonts w:ascii="Times New Roman" w:cs="Times New Roman" w:eastAsia="Times New Roman" w:hAnsi="Times New Roman"/>
          <w:sz w:val="19"/>
          <w:szCs w:val="19"/>
          <w:color w:val="auto"/>
        </w:rPr>
        <w:t>”).</w:t>
      </w:r>
    </w:p>
    <w:p>
      <w:pPr>
        <w:spacing w:after="0" w:line="146"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any sale of the Shares underlying the RSU or the transfer of the Shares underlying the RSU from the Trustee to Participant, Participant shall be subject to tax. Such tax will be calculated and withheld at source by the Company and/or its Related Entities and/or the Trustee according to the requirements under the Applicable Laws. Participant may elect to satisfy the Tax Withholding Obligation by any means provided in accordance with Section 9.5 of the Plan, which includes Participant’s ability to instruct and authorize the Company to, with respect to the Tax Withholding Obligation arising as a result of the sale of the Shares underlying the RSUs or the transfer of the Shares underlying the RSUs from the Trustee to Participant (in each case, including additional RSUs granted pursuant to Section 3.2), withhold a net number of vested Shares otherwise issuable pursuant to the RSUs having a then-current Fair Market Value not exceeding the amount necessary to satisfy the Tax Withholding Obligation of the Company and its Related Entities.</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20"/>
          <w:szCs w:val="20"/>
          <w:b w:val="1"/>
          <w:bCs w:val="1"/>
          <w:i w:val="1"/>
          <w:iCs w:val="1"/>
          <w:color w:val="auto"/>
        </w:rPr>
        <w:t>Applicable Tax Withholding Rate</w:t>
      </w:r>
      <w:r>
        <w:rPr>
          <w:rFonts w:ascii="Times New Roman" w:cs="Times New Roman" w:eastAsia="Times New Roman" w:hAnsi="Times New Roman"/>
          <w:sz w:val="20"/>
          <w:szCs w:val="20"/>
          <w:color w:val="auto"/>
        </w:rPr>
        <w:t xml:space="preserve">” shall mean (i) the greater of (A) the minimum applicable statutory tax withholding rate or (B) with Participant’s consent, the maximum individual tax withholding rate permitted under the rules of the applicable taxing authority for tax withholding attributable to the underlying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in no event shall Participant’s Applicable Tax Withholding Rate exceed the maximum individual statutory tax rate in the applicable jurisdiction at the time of such withholding;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RSUs and Dividend Equivalents under generally accepted accounting principles.</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and the Dividend Equivalents, regardless of any action the Company or any Related Entity or the Trustee takes with respect to any Tax Withholding Obligations that arise in connection with the RSUs and the Dividend Equivalents. Neither the Company nor any Related Entity nor the Trustee makes any representation or undertaking regarding the tax treatment to Participant in connection with the RSUs and the Dividend Equivalents or the subsequent sale of Shares. The Company and the Related Entities and the Trustee do not commit and are under no obligation to structure the RSUs and the Dividend Equivalents to reduce or eliminate Participant’s tax liability. Furthermore, Participant agrees to indemnify the Company and/or its Related Entities and/or the Trustee and hold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40"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9"/>
          <w:szCs w:val="19"/>
          <w:color w:val="auto"/>
        </w:rPr>
        <w:t>harmless against and from any and all liability for any such tax or interest or penalty thereon, including without limitation, liabilities relating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necessity to withhold, or to have withheld, any such tax from any payment made to Participant for which Participant is responsible. The Company or any of its Related Entities and the Trustee may make such provisions and take such steps as it/they may deem necessary or</w:t>
      </w:r>
    </w:p>
    <w:p>
      <w:pPr>
        <w:spacing w:after="0" w:line="211" w:lineRule="auto"/>
        <w:rPr>
          <w:sz w:val="20"/>
          <w:szCs w:val="20"/>
          <w:color w:val="auto"/>
        </w:rPr>
      </w:pPr>
      <w:r>
        <w:rPr>
          <w:rFonts w:ascii="Times New Roman" w:cs="Times New Roman" w:eastAsia="Times New Roman" w:hAnsi="Times New Roman"/>
          <w:sz w:val="20"/>
          <w:szCs w:val="20"/>
          <w:color w:val="auto"/>
        </w:rPr>
        <w:t>appropriate for the withholding of all taxes required by law to be withheld with respect to the Award and the settlement thereof. In addition,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Participant will be required to pay any amount that exceeds the tax to be withheld and transferred to the tax authorities, pursuant to applicable Israeli tax regulations.</w:t>
      </w:r>
    </w:p>
    <w:p>
      <w:pPr>
        <w:spacing w:after="0" w:line="1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 Without limiting the generality of any other provision hereof,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hereby expressly acknowledges that Section 10.8 (“</w:t>
      </w:r>
      <w:r>
        <w:rPr>
          <w:rFonts w:ascii="Times New Roman" w:cs="Times New Roman" w:eastAsia="Times New Roman" w:hAnsi="Times New Roman"/>
          <w:sz w:val="20"/>
          <w:szCs w:val="20"/>
          <w:i w:val="1"/>
          <w:iCs w:val="1"/>
          <w:color w:val="auto"/>
        </w:rPr>
        <w:t>Lock-Up Period</w:t>
      </w:r>
      <w:r>
        <w:rPr>
          <w:rFonts w:ascii="Times New Roman" w:cs="Times New Roman" w:eastAsia="Times New Roman" w:hAnsi="Times New Roman"/>
          <w:sz w:val="20"/>
          <w:szCs w:val="20"/>
          <w:color w:val="auto"/>
        </w:rPr>
        <w:t>”) of the Plan is expressly incorporated into this Agreement and are applicable to the Shares issued pursuant to this Agreement. In addition, the Award and any Shares underlying the RSUs shall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subject to the applicable restrictions provided in the Sub-Plan, in particular, those restrictions imposed in the framework of Section 102(b) of the ITO with respect to the Required Holding Period.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By executing this Agreement and accepting this Award, Participant agrees that all compensation received by Participant, including Awards under the Plan, shall be subject to reduction, cancellation, forfeiture and/or recoupment to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extent necessary to comply with the provisions of any clawback policy implemented by the Company, including, without limitation, the Company’s Policy for Recovery of Erroneously Awarded Compensation (as amended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and any clawback</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policy adopted to comply with applicable law (including the Dodd-Frank Wall Street Reform and Consumer Protection Act and any rules or regulations promulgated thereunder) (collectively, the “</w:t>
      </w:r>
      <w:r>
        <w:rPr>
          <w:rFonts w:ascii="Times New Roman" w:cs="Times New Roman" w:eastAsia="Times New Roman" w:hAnsi="Times New Roman"/>
          <w:sz w:val="20"/>
          <w:szCs w:val="20"/>
          <w:b w:val="1"/>
          <w:bCs w:val="1"/>
          <w:i w:val="1"/>
          <w:iCs w:val="1"/>
          <w:color w:val="auto"/>
        </w:rPr>
        <w:t>Recovery Arrangements</w:t>
      </w:r>
      <w:r>
        <w:rPr>
          <w:rFonts w:ascii="Times New Roman" w:cs="Times New Roman" w:eastAsia="Times New Roman" w:hAnsi="Times New Roman"/>
          <w:sz w:val="20"/>
          <w:szCs w:val="20"/>
          <w:color w:val="auto"/>
        </w:rPr>
        <w:t>”) and Section 10.14 of the Plan, notwithstanding any other</w:t>
      </w:r>
    </w:p>
    <w:p>
      <w:pPr>
        <w:spacing w:after="0" w:line="211" w:lineRule="auto"/>
        <w:rPr>
          <w:sz w:val="20"/>
          <w:szCs w:val="20"/>
          <w:color w:val="auto"/>
        </w:rPr>
      </w:pPr>
      <w:r>
        <w:rPr>
          <w:rFonts w:ascii="Times New Roman" w:cs="Times New Roman" w:eastAsia="Times New Roman" w:hAnsi="Times New Roman"/>
          <w:sz w:val="20"/>
          <w:szCs w:val="20"/>
          <w:color w:val="auto"/>
        </w:rPr>
        <w:t>agreement to the contrary. Participant agrees that Participant is not entitled to indemnification in connection with any enforcement of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Recovery Arrangements and expressly waives any rights to such indemnification under the Company’s organizational documents or otherwise.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89" w:lineRule="exact"/>
        <w:rPr>
          <w:sz w:val="20"/>
          <w:szCs w:val="20"/>
          <w:color w:val="auto"/>
        </w:rPr>
      </w:pPr>
    </w:p>
    <w:p>
      <w:pPr>
        <w:jc w:val="both"/>
        <w:ind w:firstLine="1304"/>
        <w:spacing w:after="0" w:line="226"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5.3, Participant agrees and acknowledges that Participant will not transfer in any manner the Shares issued pursuant to this Agreement unless (a) the transfer is pursuant to an effective registration statement under the Securities Act or the rules and regulations in effect thereunder, or (b)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9" w:right="339" w:bottom="1440" w:gutter="0" w:footer="0" w:header="0"/>
        </w:sectPr>
      </w:pPr>
    </w:p>
    <w:bookmarkStart w:id="191" w:name="page192"/>
    <w:bookmarkEnd w:id="191"/>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23"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jc w:val="both"/>
        <w:spacing w:after="0" w:line="204"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or any equivalent non-U.S. postal service, when delivered by a nationally recognized express shipping company or upon receipt of a facsimile transmission confirmation.</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conform to Applicable Laws.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this Agreement (including any exhibit hereto) and the Trust Agreement</w:t>
      </w:r>
    </w:p>
    <w:p>
      <w:pPr>
        <w:jc w:val="both"/>
        <w:spacing w:after="0" w:line="215" w:lineRule="auto"/>
        <w:rPr>
          <w:sz w:val="20"/>
          <w:szCs w:val="20"/>
          <w:color w:val="auto"/>
        </w:rPr>
      </w:pPr>
      <w:r>
        <w:rPr>
          <w:rFonts w:ascii="Times New Roman" w:cs="Times New Roman" w:eastAsia="Times New Roman" w:hAnsi="Times New Roman"/>
          <w:sz w:val="19"/>
          <w:szCs w:val="19"/>
          <w:color w:val="auto"/>
        </w:rPr>
        <w:t>constitute the entire agreement of the parties and supersede in their entirety all prior undertakings and agreements of the Company and Participant with respect to the subject matter hereof, including without limitation, the provisions of any employment agreement or offer letter</w:t>
      </w:r>
    </w:p>
    <w:p>
      <w:pPr>
        <w:spacing w:after="0" w:line="211" w:lineRule="auto"/>
        <w:rPr>
          <w:sz w:val="20"/>
          <w:szCs w:val="20"/>
          <w:color w:val="auto"/>
        </w:rPr>
      </w:pPr>
      <w:r>
        <w:rPr>
          <w:rFonts w:ascii="Times New Roman" w:cs="Times New Roman" w:eastAsia="Times New Roman" w:hAnsi="Times New Roman"/>
          <w:sz w:val="20"/>
          <w:szCs w:val="20"/>
          <w:color w:val="auto"/>
        </w:rPr>
        <w:t>regarding equity awards to be awarded to Participant by the Company, or any other oral, implied or written promises, statements,</w:t>
      </w:r>
    </w:p>
    <w:p>
      <w:pPr>
        <w:jc w:val="both"/>
        <w:spacing w:after="0" w:line="204" w:lineRule="auto"/>
        <w:rPr>
          <w:sz w:val="20"/>
          <w:szCs w:val="20"/>
          <w:color w:val="auto"/>
        </w:rPr>
      </w:pPr>
      <w:r>
        <w:rPr>
          <w:rFonts w:ascii="Times New Roman" w:cs="Times New Roman" w:eastAsia="Times New Roman" w:hAnsi="Times New Roman"/>
          <w:sz w:val="20"/>
          <w:szCs w:val="20"/>
          <w:color w:val="auto"/>
        </w:rPr>
        <w:t>understandings, undertakings or agreements by the Company or any of its representatives regarding equity awards to be awarded to Participant by the Company. Participant hereby agrees to execute such further instruments and to take such further action as the Company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requests to carry out the purposes and intent of this Agreement and the Plan, including, without limitation, restrictions on the transferability of the Shares. This Agreement may not be amended without the written consent of Participant and an authorized officer of the Company.</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trust. Neither the Plan nor any underlying program, in and of itself, has any assets. Participant will have only the rights of a general unsecured creditor of the Company with respect to amounts credited and benefits payable, if any, with respect to the RSUs and the Dividend</w:t>
      </w:r>
    </w:p>
    <w:p>
      <w:pPr>
        <w:jc w:val="both"/>
        <w:spacing w:after="0" w:line="228" w:lineRule="auto"/>
        <w:rPr>
          <w:sz w:val="20"/>
          <w:szCs w:val="20"/>
          <w:color w:val="auto"/>
        </w:rPr>
      </w:pPr>
      <w:r>
        <w:rPr>
          <w:rFonts w:ascii="Times New Roman" w:cs="Times New Roman" w:eastAsia="Times New Roman" w:hAnsi="Times New Roman"/>
          <w:sz w:val="20"/>
          <w:szCs w:val="20"/>
          <w:color w:val="auto"/>
        </w:rPr>
        <w:t>Equivalents, and rights no greater than the right to receive the Shares as a general unsecured creditor with respect to the RSUs and the Dividend Equivalents, as and when settled pursuant to the terms of this Agreement.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Shares (which may be in book-entry form) will have been issued and recorded on the records of the Company or its transfer agents or registrars, and delivered to Participant or the Trustee (including through electronic delivery to a brokerage account unless otherwise required</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by the Trustee for compliance with Section 102). Except as otherwise provided herein, after such issuance, recordation and delivery, Participant or the Trustee,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color w:val="auto"/>
        </w:rPr>
        <w:t>applicable, will have all the rights of a stockholder of the Company with respect to such Shares, including, without limitation, the right to</w:t>
      </w:r>
    </w:p>
    <w:p>
      <w:pPr>
        <w:spacing w:after="0" w:line="215" w:lineRule="auto"/>
        <w:rPr>
          <w:sz w:val="20"/>
          <w:szCs w:val="20"/>
          <w:color w:val="auto"/>
        </w:rPr>
      </w:pPr>
      <w:r>
        <w:rPr>
          <w:rFonts w:ascii="Times New Roman" w:cs="Times New Roman" w:eastAsia="Times New Roman" w:hAnsi="Times New Roman"/>
          <w:sz w:val="19"/>
          <w:szCs w:val="19"/>
          <w:color w:val="auto"/>
        </w:rPr>
        <w:t>receipt of dividends and distributions on such Shares, except that any and all rights issued in respect of the Shares, including bonus shares but excluding cash dividends (“</w:t>
      </w:r>
      <w:r>
        <w:rPr>
          <w:rFonts w:ascii="Times New Roman" w:cs="Times New Roman" w:eastAsia="Times New Roman" w:hAnsi="Times New Roman"/>
          <w:sz w:val="19"/>
          <w:szCs w:val="19"/>
          <w:b w:val="1"/>
          <w:bCs w:val="1"/>
          <w:i w:val="1"/>
          <w:iCs w:val="1"/>
          <w:color w:val="auto"/>
        </w:rPr>
        <w:t>Rights</w:t>
      </w:r>
      <w:r>
        <w:rPr>
          <w:rFonts w:ascii="Times New Roman" w:cs="Times New Roman" w:eastAsia="Times New Roman" w:hAnsi="Times New Roman"/>
          <w:sz w:val="19"/>
          <w:szCs w:val="19"/>
          <w:color w:val="auto"/>
        </w:rPr>
        <w:t>”), shall be deposited with the Trustee and held thereby until the lapse of the Required Holding Period, and</w:t>
      </w:r>
    </w:p>
    <w:p>
      <w:pPr>
        <w:spacing w:after="0" w:line="222" w:lineRule="auto"/>
        <w:rPr>
          <w:sz w:val="20"/>
          <w:szCs w:val="20"/>
          <w:color w:val="auto"/>
        </w:rPr>
      </w:pPr>
      <w:r>
        <w:rPr>
          <w:rFonts w:ascii="Times New Roman" w:cs="Times New Roman" w:eastAsia="Times New Roman" w:hAnsi="Times New Roman"/>
          <w:sz w:val="19"/>
          <w:szCs w:val="19"/>
          <w:color w:val="auto"/>
        </w:rPr>
        <w:t>such Rights shall be subject to Section 102. Notwithstanding the aforesaid, Participant may sell Shares or Rights or execute a transfer of such</w:t>
      </w:r>
    </w:p>
    <w:p>
      <w:pPr>
        <w:spacing w:after="0" w:line="204" w:lineRule="auto"/>
        <w:rPr>
          <w:sz w:val="20"/>
          <w:szCs w:val="20"/>
          <w:color w:val="auto"/>
        </w:rPr>
      </w:pPr>
      <w:r>
        <w:rPr>
          <w:rFonts w:ascii="Times New Roman" w:cs="Times New Roman" w:eastAsia="Times New Roman" w:hAnsi="Times New Roman"/>
          <w:sz w:val="20"/>
          <w:szCs w:val="20"/>
          <w:color w:val="auto"/>
        </w:rPr>
        <w:t>Shares or Rights to Participant prior to the lapse of the Required Holding Period, provided that tax is withheld at source by the Company in accordance with the ITO, the Rules and the terms and conditions of the Trust Agreement. In such case, Participant’s gains shall be classified</w:t>
      </w:r>
    </w:p>
    <w:p>
      <w:pPr>
        <w:spacing w:after="0" w:line="211" w:lineRule="auto"/>
        <w:rPr>
          <w:sz w:val="20"/>
          <w:szCs w:val="20"/>
          <w:color w:val="auto"/>
        </w:rPr>
      </w:pPr>
      <w:r>
        <w:rPr>
          <w:rFonts w:ascii="Times New Roman" w:cs="Times New Roman" w:eastAsia="Times New Roman" w:hAnsi="Times New Roman"/>
          <w:sz w:val="20"/>
          <w:szCs w:val="20"/>
          <w:color w:val="auto"/>
        </w:rPr>
        <w:t>as ordinary income and Participant shall be subject to tax on such income at marginal tax rates plus social security and national health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insurance payments. The issuance of Shares under this Award to Participant shall be subject to Participant’s satisfaction of the conditions under Section 10.14 of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the Plan, the Grant Notice or this Agreement confers upon Participant any right to</w:t>
      </w:r>
    </w:p>
    <w:p>
      <w:pPr>
        <w:spacing w:after="0" w:line="204" w:lineRule="auto"/>
        <w:rPr>
          <w:sz w:val="20"/>
          <w:szCs w:val="20"/>
          <w:color w:val="auto"/>
        </w:rPr>
      </w:pPr>
      <w:r>
        <w:rPr>
          <w:rFonts w:ascii="Times New Roman" w:cs="Times New Roman" w:eastAsia="Times New Roman" w:hAnsi="Times New Roman"/>
          <w:sz w:val="20"/>
          <w:szCs w:val="20"/>
          <w:color w:val="auto"/>
        </w:rPr>
        <w:t>continue in the employ or service of the Company or any Related Entity or interferes with or restricts in any way the rights of the Company and its Related Entities, which rights are hereby expressly reserved, to discharge or terminate the services of Participant at any time for any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reason whatsoever, with or without Cause, except to the extent expressly provided otherwise in a written agreement between the Company or a Related Entity and Participant.</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5.15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provisions of the Plan and all Awards made thereunder, including the RSUs and the Dividend Equivalents, shall be governed by and interpreted in accordance with the laws of the State of Delaware, disregarding choice-of-law principles</w:t>
      </w:r>
    </w:p>
    <w:p>
      <w:pPr>
        <w:spacing w:after="0"/>
        <w:rPr>
          <w:sz w:val="20"/>
          <w:szCs w:val="20"/>
          <w:color w:val="auto"/>
        </w:rPr>
      </w:pPr>
      <w:r>
        <w:rPr>
          <w:rFonts w:ascii="Times New Roman" w:cs="Times New Roman" w:eastAsia="Times New Roman" w:hAnsi="Times New Roman"/>
          <w:sz w:val="20"/>
          <w:szCs w:val="20"/>
          <w:color w:val="auto"/>
        </w:rPr>
        <w:t>of the law of any state that would require the application of the laws of a jurisdiction other than such state.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u w:val="single" w:color="auto"/>
          <w:color w:val="auto"/>
        </w:rPr>
        <w:t>Section 102 Compliance.</w:t>
      </w:r>
    </w:p>
    <w:p>
      <w:pPr>
        <w:spacing w:after="0" w:line="202" w:lineRule="exact"/>
        <w:rPr>
          <w:sz w:val="20"/>
          <w:szCs w:val="20"/>
          <w:color w:val="auto"/>
        </w:rPr>
      </w:pPr>
    </w:p>
    <w:p>
      <w:pPr>
        <w:ind w:firstLine="487"/>
        <w:spacing w:after="0" w:line="283" w:lineRule="auto"/>
        <w:tabs>
          <w:tab w:leader="none" w:pos="987"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102 Capital Gains Track Grant, the Award shall be deposited with the Trustee as required by law to qualify under Section 102, for the benefit of Participant. Participant shall comply with the ITO, the Rules, and the terms and conditions of the Trust Agreement.</w:t>
      </w:r>
    </w:p>
    <w:p>
      <w:pPr>
        <w:spacing w:after="0" w:line="173" w:lineRule="exact"/>
        <w:rPr>
          <w:rFonts w:ascii="Times New Roman" w:cs="Times New Roman" w:eastAsia="Times New Roman" w:hAnsi="Times New Roman"/>
          <w:sz w:val="20"/>
          <w:szCs w:val="20"/>
          <w:color w:val="auto"/>
        </w:rPr>
      </w:pPr>
    </w:p>
    <w:p>
      <w:pPr>
        <w:jc w:val="both"/>
        <w:ind w:firstLine="438"/>
        <w:spacing w:after="0" w:line="268" w:lineRule="auto"/>
        <w:tabs>
          <w:tab w:leader="none" w:pos="87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hold the Award or any Shares issued upon settlement of the Award for the Required Holding Period, as set forth in the Sub-Plan. It is acknowledged that as long as the Shares are held by the Trustee, the Trustee shall be the registered shareholder of the Shares, and hold such Shares for the benefit of Participant.</w:t>
      </w:r>
    </w:p>
    <w:p>
      <w:pPr>
        <w:spacing w:after="0" w:line="188"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20"/>
          <w:szCs w:val="20"/>
          <w:color w:val="auto"/>
        </w:rPr>
        <w:t>(c) In the event that Participant disposes of any Shares underlying the Award prior to the expiration of the Required Holding Period or directs a transfer of the Shares underlying the Award from the Trustee to Participant prior to the expiration of the Required Holding Period, Participant acknowledges and agrees that any additional gains from the sale of such Shares shall not qualify for the tax treatment under the 102 Capital Gains Track and shall be subject to taxation in Israel in accordance with ordinary income tax principles. Participant further acknowledges and agrees that in such instance, Participant shall be liable for the employer’s component of payments to the Israeli National Insurance Institute (to the extent such payments by Participant’s employer are required).</w:t>
      </w:r>
    </w:p>
    <w:p>
      <w:pPr>
        <w:spacing w:after="0" w:line="219" w:lineRule="exact"/>
        <w:rPr>
          <w:sz w:val="20"/>
          <w:szCs w:val="20"/>
          <w:color w:val="auto"/>
        </w:rPr>
      </w:pPr>
    </w:p>
    <w:p>
      <w:pPr>
        <w:ind w:firstLine="407"/>
        <w:spacing w:after="0" w:line="269" w:lineRule="auto"/>
        <w:tabs>
          <w:tab w:leader="none" w:pos="87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undertakes to release the Trustee from any liability in respect of any action or decision duly taken and bona fide executed in relation to the Plan, or any Award or Shares issued to Participant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394" w:right="339" w:bottom="1440" w:gutter="0" w:footer="0" w:header="0"/>
        </w:sectPr>
      </w:pPr>
    </w:p>
    <w:bookmarkStart w:id="193" w:name="page194"/>
    <w:bookmarkEnd w:id="193"/>
    <w:p>
      <w:pPr>
        <w:ind w:firstLine="627"/>
        <w:spacing w:after="0" w:line="283" w:lineRule="auto"/>
        <w:tabs>
          <w:tab w:leader="none" w:pos="122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confirms that Participant shall execute any and all documents which the Company or the Trustee may reasonably determine to be necessary in order to comply with the ITO and particularly, the Rules.</w:t>
      </w:r>
    </w:p>
    <w:p>
      <w:pPr>
        <w:spacing w:after="0" w:line="16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additional limitations set forth in any applicable exemptive rule under Section 16 of the Exchange Act (including any amendment to Rule 16b-3) that are requirements for the application of such exemptive rule. To the extent Applicable Laws permit, this Agreement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deemed amended as necessary to conform to such applicable exemptive rule.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413"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0"/>
          <w:szCs w:val="20"/>
          <w:b w:val="1"/>
          <w:bCs w:val="1"/>
          <w:color w:val="auto"/>
        </w:rPr>
        <w:t>Exhibit 10.6.6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40575" cy="6261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71405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 FOR ISRAELI PARTICIPANTS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and the Sub-Plan for Israeli Participants (the “</w:t>
      </w:r>
      <w:r>
        <w:rPr>
          <w:rFonts w:ascii="Times New Roman" w:cs="Times New Roman" w:eastAsia="Times New Roman" w:hAnsi="Times New Roman"/>
          <w:sz w:val="20"/>
          <w:szCs w:val="20"/>
          <w:b w:val="1"/>
          <w:bCs w:val="1"/>
          <w:i w:val="1"/>
          <w:iCs w:val="1"/>
          <w:color w:val="auto"/>
        </w:rPr>
        <w:t>Sub-Plan</w:t>
      </w:r>
      <w:r>
        <w:rPr>
          <w:rFonts w:ascii="Times New Roman" w:cs="Times New Roman" w:eastAsia="Times New Roman" w:hAnsi="Times New Roman"/>
          <w:sz w:val="20"/>
          <w:szCs w:val="20"/>
          <w:color w:val="auto"/>
        </w:rPr>
        <w:t>,” and jointly with the 2020 Incentive Award Plan, as each may be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except where the context otherwise requires), in each case,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and Section 3(i) of the ITO.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w:t>
      </w: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276"/>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3780" w:type="dxa"/>
            <w:vAlign w:val="bottom"/>
          </w:tcPr>
          <w:p>
            <w:pPr>
              <w:ind w:left="1380"/>
              <w:spacing w:after="0"/>
              <w:rPr>
                <w:sz w:val="20"/>
                <w:szCs w:val="20"/>
                <w:color w:val="auto"/>
              </w:rPr>
            </w:pPr>
            <w:r>
              <w:rPr>
                <w:rFonts w:ascii="Times New Roman" w:cs="Times New Roman" w:eastAsia="Times New Roman" w:hAnsi="Times New Roman"/>
                <w:sz w:val="20"/>
                <w:szCs w:val="20"/>
                <w:i w:val="1"/>
                <w:iCs w:val="1"/>
                <w:color w:val="auto"/>
                <w:w w:val="96"/>
              </w:rPr>
              <w:t>###PARTICIPANT_NAME###</w:t>
            </w:r>
          </w:p>
        </w:tc>
        <w:tc>
          <w:tcPr>
            <w:tcW w:w="0" w:type="dxa"/>
            <w:vAlign w:val="bottom"/>
          </w:tcPr>
          <w:p>
            <w:pPr>
              <w:spacing w:after="0"/>
              <w:rPr>
                <w:sz w:val="1"/>
                <w:szCs w:val="1"/>
                <w:color w:val="auto"/>
              </w:rPr>
            </w:pPr>
          </w:p>
        </w:tc>
      </w:tr>
      <w:tr>
        <w:trPr>
          <w:trHeight w:val="499"/>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3780" w:type="dxa"/>
            <w:vAlign w:val="bottom"/>
          </w:tcPr>
          <w:p>
            <w:pPr>
              <w:ind w:left="1380"/>
              <w:spacing w:after="0"/>
              <w:rPr>
                <w:sz w:val="20"/>
                <w:szCs w:val="20"/>
                <w:color w:val="auto"/>
              </w:rPr>
            </w:pPr>
            <w:r>
              <w:rPr>
                <w:rFonts w:ascii="Times New Roman" w:cs="Times New Roman" w:eastAsia="Times New Roman" w:hAnsi="Times New Roman"/>
                <w:sz w:val="20"/>
                <w:szCs w:val="20"/>
                <w:i w:val="1"/>
                <w:iCs w:val="1"/>
                <w:color w:val="auto"/>
              </w:rPr>
              <w:t>###GRANT_DATE###</w:t>
            </w:r>
          </w:p>
        </w:tc>
        <w:tc>
          <w:tcPr>
            <w:tcW w:w="0" w:type="dxa"/>
            <w:vAlign w:val="bottom"/>
          </w:tcPr>
          <w:p>
            <w:pPr>
              <w:spacing w:after="0"/>
              <w:rPr>
                <w:sz w:val="1"/>
                <w:szCs w:val="1"/>
                <w:color w:val="auto"/>
              </w:rPr>
            </w:pPr>
          </w:p>
        </w:tc>
      </w:tr>
      <w:tr>
        <w:trPr>
          <w:trHeight w:val="500"/>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3780" w:type="dxa"/>
            <w:vAlign w:val="bottom"/>
            <w:vMerge w:val="restart"/>
          </w:tcPr>
          <w:p>
            <w:pPr>
              <w:ind w:left="1380"/>
              <w:spacing w:after="0"/>
              <w:rPr>
                <w:sz w:val="20"/>
                <w:szCs w:val="20"/>
                <w:color w:val="auto"/>
              </w:rPr>
            </w:pPr>
            <w:r>
              <w:rPr>
                <w:rFonts w:ascii="Times New Roman" w:cs="Times New Roman" w:eastAsia="Times New Roman" w:hAnsi="Times New Roman"/>
                <w:sz w:val="20"/>
                <w:szCs w:val="20"/>
                <w:i w:val="1"/>
                <w:iCs w:val="1"/>
                <w:color w:val="auto"/>
              </w:rPr>
              <w:t>###TOTAL_AWARDS###</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 Status:</w:t>
            </w:r>
          </w:p>
        </w:tc>
        <w:tc>
          <w:tcPr>
            <w:tcW w:w="3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3(i) RSU</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i w:val="1"/>
          <w:iCs w:val="1"/>
          <w:color w:val="auto"/>
        </w:rPr>
        <w:t>###VEST_SCHEDULE_TABLE###</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the Agreement and Section 3(i) of the ITO.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ectPr>
          <w:pgSz w:w="11900" w:h="16838" w:orient="portrait"/>
          <w:cols w:equalWidth="0" w:num="1">
            <w:col w:w="11240"/>
          </w:cols>
          <w:pgMar w:left="320" w:top="100" w:right="339" w:bottom="1440" w:gutter="0" w:footer="0" w:header="0"/>
        </w:sectPr>
      </w:pPr>
    </w:p>
    <w:bookmarkStart w:id="195" w:name="page196"/>
    <w:bookmarkEnd w:id="195"/>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499"/>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460" w:type="dxa"/>
            <w:vAlign w:val="bottom"/>
          </w:tcPr>
          <w:p>
            <w:pPr>
              <w:spacing w:after="0"/>
              <w:rPr>
                <w:sz w:val="24"/>
                <w:szCs w:val="24"/>
                <w:color w:val="auto"/>
              </w:rPr>
            </w:pPr>
          </w:p>
        </w:tc>
      </w:tr>
      <w:tr>
        <w:trPr>
          <w:trHeight w:val="500"/>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 Name:</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Print Name:</w:t>
            </w:r>
          </w:p>
        </w:tc>
      </w:tr>
      <w:tr>
        <w:trPr>
          <w:trHeight w:val="223"/>
        </w:trPr>
        <w:tc>
          <w:tcPr>
            <w:tcW w:w="14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r>
        <w:trPr>
          <w:trHeight w:val="256"/>
        </w:trPr>
        <w:tc>
          <w:tcPr>
            <w:tcW w:w="5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460" w:type="dxa"/>
            <w:vAlign w:val="bottom"/>
          </w:tcPr>
          <w:p>
            <w:pPr>
              <w:spacing w:after="0"/>
              <w:rPr>
                <w:sz w:val="22"/>
                <w:szCs w:val="22"/>
                <w:color w:val="auto"/>
              </w:rPr>
            </w:pPr>
          </w:p>
        </w:tc>
      </w:tr>
      <w:tr>
        <w:trPr>
          <w:trHeight w:val="223"/>
        </w:trPr>
        <w:tc>
          <w:tcPr>
            <w:tcW w:w="14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-325120</wp:posOffset>
            </wp:positionV>
            <wp:extent cx="26060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 or in the Sub-Plan.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 and Dividend Equivalents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RSUs have vested. Each vested portion of the RSU has a corresponding Dividend Equivalent as described in Article III.</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w:t>
      </w:r>
    </w:p>
    <w:p>
      <w:pPr>
        <w:jc w:val="both"/>
        <w:spacing w:after="0" w:line="204" w:lineRule="auto"/>
        <w:rPr>
          <w:sz w:val="20"/>
          <w:szCs w:val="20"/>
          <w:color w:val="auto"/>
        </w:rPr>
      </w:pPr>
      <w:r>
        <w:rPr>
          <w:rFonts w:ascii="Times New Roman" w:cs="Times New Roman" w:eastAsia="Times New Roman" w:hAnsi="Times New Roman"/>
          <w:sz w:val="20"/>
          <w:szCs w:val="20"/>
          <w:color w:val="auto"/>
        </w:rPr>
        <w:t>except that any fraction of an RSU that would otherwise be vested will be accumulated and will vest only when a whole RSU has accumulated. Except as provided in the Grant Notice, in the event of Participant’s Termination of Service for any reason, all unvested RSUs</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and any unpaid Dividend Equivalents will immediately and automatically be cancelled and forfeited, except as otherwise determined by the Administrator or provided in a binding written agreement between Participant and the Company.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p>
    <w:p>
      <w:pPr>
        <w:spacing w:after="0" w:line="189" w:lineRule="exact"/>
        <w:rPr>
          <w:sz w:val="20"/>
          <w:szCs w:val="20"/>
          <w:color w:val="auto"/>
        </w:rPr>
      </w:pPr>
    </w:p>
    <w:p>
      <w:pPr>
        <w:ind w:firstLine="1304"/>
        <w:spacing w:after="0"/>
        <w:tabs>
          <w:tab w:leader="none" w:pos="193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(including any RSUs credited as Dividend Equivalents) will be paid in Shares to the Participant as soon as administratively practicable after the vesting of the applicable RSU, but in no event more than sixty days after the applicable vesting date.</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Award of Dividend Equivalents</w:t>
      </w:r>
      <w:r>
        <w:rPr>
          <w:rFonts w:ascii="Times New Roman" w:cs="Times New Roman" w:eastAsia="Times New Roman" w:hAnsi="Times New Roman"/>
          <w:sz w:val="20"/>
          <w:szCs w:val="20"/>
          <w:color w:val="auto"/>
        </w:rPr>
        <w:t>. To the extent a portion of an RSU has vested, but such vested portion of such RSU has not</w:t>
      </w:r>
    </w:p>
    <w:p>
      <w:pPr>
        <w:spacing w:after="0" w:line="204" w:lineRule="auto"/>
        <w:rPr>
          <w:sz w:val="20"/>
          <w:szCs w:val="20"/>
          <w:color w:val="auto"/>
        </w:rPr>
      </w:pPr>
      <w:r>
        <w:rPr>
          <w:rFonts w:ascii="Times New Roman" w:cs="Times New Roman" w:eastAsia="Times New Roman" w:hAnsi="Times New Roman"/>
          <w:sz w:val="20"/>
          <w:szCs w:val="20"/>
          <w:color w:val="auto"/>
        </w:rPr>
        <w:t>yet settled pursuant to Section 2.2, such vested portion of such RSU granted hereunder is hereby granted in tandem with a corresponding Dividend Equivalent, which Dividend Equivalent shall remain outstanding from such date of vesting until the earlier of the settlement or</w:t>
      </w:r>
    </w:p>
    <w:p>
      <w:pPr>
        <w:spacing w:after="0" w:line="211" w:lineRule="auto"/>
        <w:rPr>
          <w:sz w:val="20"/>
          <w:szCs w:val="20"/>
          <w:color w:val="auto"/>
        </w:rPr>
      </w:pPr>
      <w:r>
        <w:rPr>
          <w:rFonts w:ascii="Times New Roman" w:cs="Times New Roman" w:eastAsia="Times New Roman" w:hAnsi="Times New Roman"/>
          <w:sz w:val="20"/>
          <w:szCs w:val="20"/>
          <w:color w:val="auto"/>
        </w:rPr>
        <w:t>forfeiture of the RSU to which it corresponds. Pursuant to each outstanding Dividend Equivalent, Participant shall be entitled to receive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additional RSUs (or cash as set forth in Section 3.4) equal to the value of any dividends, if any, that Participant would have received in respect of the Share underlying the RSU to which such Dividend Equivalent relates, had such Share been outstanding on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 record date.</w:t>
      </w:r>
    </w:p>
    <w:p>
      <w:pPr>
        <w:sectPr>
          <w:pgSz w:w="11900" w:h="16838" w:orient="portrait"/>
          <w:cols w:equalWidth="0" w:num="1">
            <w:col w:w="11240"/>
          </w:cols>
          <w:pgMar w:left="320" w:top="1409" w:right="339" w:bottom="1440" w:gutter="0" w:footer="0" w:header="0"/>
        </w:sectPr>
      </w:pPr>
    </w:p>
    <w:bookmarkStart w:id="197" w:name="page198"/>
    <w:bookmarkEnd w:id="197"/>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RSUs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202" w:lineRule="exact"/>
        <w:rPr>
          <w:sz w:val="20"/>
          <w:szCs w:val="20"/>
          <w:color w:val="auto"/>
        </w:rPr>
      </w:pPr>
    </w:p>
    <w:p>
      <w:pPr>
        <w:jc w:val="both"/>
        <w:ind w:firstLine="1304"/>
        <w:spacing w:after="0" w:line="254" w:lineRule="auto"/>
        <w:tabs>
          <w:tab w:leader="none" w:pos="185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214"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w:t>
      </w:r>
    </w:p>
    <w:p>
      <w:pPr>
        <w:spacing w:after="0" w:line="20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 or</w:t>
      </w:r>
    </w:p>
    <w:p>
      <w:pPr>
        <w:spacing w:after="0" w:line="208" w:lineRule="exact"/>
        <w:rPr>
          <w:rFonts w:ascii="Times New Roman" w:cs="Times New Roman" w:eastAsia="Times New Roman" w:hAnsi="Times New Roman"/>
          <w:sz w:val="20"/>
          <w:szCs w:val="20"/>
          <w:color w:val="auto"/>
        </w:rPr>
      </w:pPr>
    </w:p>
    <w:p>
      <w:pPr>
        <w:ind w:firstLine="1304"/>
        <w:spacing w:after="0" w:line="269" w:lineRule="auto"/>
        <w:tabs>
          <w:tab w:leader="none" w:pos="186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this Article III, in the event additional RSUs are credited to Participant as a result of any Dividend Equivalent right, the Company will provide Participant notice of the crediting of such additional RSUs.</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RSUs Subject to Same Terms</w:t>
      </w:r>
      <w:r>
        <w:rPr>
          <w:rFonts w:ascii="Times New Roman" w:cs="Times New Roman" w:eastAsia="Times New Roman" w:hAnsi="Times New Roman"/>
          <w:sz w:val="20"/>
          <w:szCs w:val="20"/>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Right shall automatically be cancelled on such forfeiture date or settlement date.</w:t>
      </w:r>
    </w:p>
    <w:p>
      <w:pPr>
        <w:spacing w:after="0" w:line="2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Tax Implications</w:t>
      </w:r>
      <w:r>
        <w:rPr>
          <w:rFonts w:ascii="Times New Roman" w:cs="Times New Roman" w:eastAsia="Times New Roman" w:hAnsi="Times New Roman"/>
          <w:sz w:val="20"/>
          <w:szCs w:val="20"/>
          <w:color w:val="auto"/>
        </w:rPr>
        <w:t>. Dividend Equivalent rights and amounts that become distributable in respect thereof shall be treated separately from the original RSUs and the rights arising in connection therewith for the purposes of Section 3(i) to the ITO.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9" w:right="339" w:bottom="1440" w:gutter="0" w:footer="0" w:header="0"/>
        </w:sectPr>
      </w:pPr>
    </w:p>
    <w:bookmarkStart w:id="198" w:name="page199"/>
    <w:bookmarkEnd w:id="198"/>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p>
    <w:p>
      <w:pPr>
        <w:spacing w:after="0" w:line="189" w:lineRule="exact"/>
        <w:rPr>
          <w:sz w:val="20"/>
          <w:szCs w:val="20"/>
          <w:color w:val="auto"/>
        </w:rPr>
      </w:pPr>
    </w:p>
    <w:p>
      <w:pPr>
        <w:jc w:val="both"/>
        <w:ind w:firstLine="1304"/>
        <w:spacing w:after="0" w:line="234" w:lineRule="auto"/>
        <w:tabs>
          <w:tab w:leader="none" w:pos="193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any taxable event related to the RSUs or the Dividend Equivalents (the “</w:t>
      </w:r>
      <w:r>
        <w:rPr>
          <w:rFonts w:ascii="Times New Roman" w:cs="Times New Roman" w:eastAsia="Times New Roman" w:hAnsi="Times New Roman"/>
          <w:sz w:val="19"/>
          <w:szCs w:val="19"/>
          <w:b w:val="1"/>
          <w:bCs w:val="1"/>
          <w:i w:val="1"/>
          <w:iCs w:val="1"/>
          <w:color w:val="auto"/>
        </w:rPr>
        <w:t>Tax Withholding Obligation</w:t>
      </w:r>
      <w:r>
        <w:rPr>
          <w:rFonts w:ascii="Times New Roman" w:cs="Times New Roman" w:eastAsia="Times New Roman" w:hAnsi="Times New Roman"/>
          <w:sz w:val="19"/>
          <w:szCs w:val="19"/>
          <w:color w:val="auto"/>
        </w:rPr>
        <w:t>”).</w:t>
      </w:r>
    </w:p>
    <w:p>
      <w:pPr>
        <w:spacing w:after="0" w:line="160" w:lineRule="exact"/>
        <w:rPr>
          <w:rFonts w:ascii="Times New Roman" w:cs="Times New Roman" w:eastAsia="Times New Roman" w:hAnsi="Times New Roman"/>
          <w:sz w:val="19"/>
          <w:szCs w:val="19"/>
          <w:color w:val="auto"/>
        </w:rPr>
      </w:pPr>
    </w:p>
    <w:p>
      <w:pPr>
        <w:jc w:val="both"/>
        <w:ind w:firstLine="1304"/>
        <w:spacing w:after="0" w:line="213" w:lineRule="auto"/>
        <w:tabs>
          <w:tab w:leader="none" w:pos="193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the settlement of the RSU or the Dividend Equivalents into Shares, the Participant shall be subject to tax and a Tax Withholding Obligation will arise. Such Tax Withholding Obligation will be calculated and withheld at source by the Company and/or its Related Entities according to the requirements under Applicable Laws. Unless Participant elects to satisfy the Tax Withholding Obligation by some other means in accordance with Section 9.5 of the Plan, Participant’s acceptance of this Award constitutes Participant’s instruction and authorization to the Company to, and the Company shall, with respect to the Tax Withholding Obligation arising as a result of the settlement of the RSUs with Shares (including additional RSUs granted pursuant to Section 3.2), withhold a net number of vested Shares otherwise issuable pursuant to the RSUs having a then-current Fair Market Value not exceeding the amount necessary to satisfy the Tax Withholding Obligation of the Company and its Related Entities.</w:t>
      </w:r>
    </w:p>
    <w:p>
      <w:pPr>
        <w:spacing w:after="0" w:line="162"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20"/>
          <w:szCs w:val="20"/>
          <w:b w:val="1"/>
          <w:bCs w:val="1"/>
          <w:i w:val="1"/>
          <w:iCs w:val="1"/>
          <w:color w:val="auto"/>
        </w:rPr>
        <w:t>Applicable Tax Withholding Rate</w:t>
      </w:r>
      <w:r>
        <w:rPr>
          <w:rFonts w:ascii="Times New Roman" w:cs="Times New Roman" w:eastAsia="Times New Roman" w:hAnsi="Times New Roman"/>
          <w:sz w:val="20"/>
          <w:szCs w:val="20"/>
          <w:color w:val="auto"/>
        </w:rPr>
        <w:t xml:space="preserve">” shall mean the applicable marginal tax rate and surtax, if applicable, that apply to Participant’s benefits from the RSUs or the Dividend Equivalents;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RSUs and Dividend Equivalents under generally accepted accounting principles.</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RSUs and the Dividend Equivalents, regardless of any action the Company or any Related Entity takes with respect to any Tax Withholding Obligations that arise in connection with the RSUs and the Dividend Equivalents. Neither the Company nor any Related Entity makes any representation or undertaking regarding the tax treatment to Participant in connection with the RSUs and the Dividend Equivalents or the subsequent sale of Shares. The Company and the Related Entities do not commit and are under no obligation to structure the RSUs and the Dividend Equivalents to reduce or eliminate Participant’s tax liability. Furthermore, Participant agrees to indemnify the Company and/or its Related Entities and hold them harmless against and from any and all liability for any such tax or interest or penalty thereon, including without limitation, liabilities relating to the necessity to withhold, or to have withheld, any such tax from any payment made to Participant for which Participant is responsible. The Company or any of its Related Entities may make such provisions and take such steps as it/they may deem necessary or appropriate for the withholding of all taxes required by law to be withheld with respect to the Award and the settlement thereof. In addition, Participant will be required to pay any amount that exceeds the tax to be withheld and transferred to the tax authorities, pursuant to applicable Israeli tax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4" w:right="339" w:bottom="1440" w:gutter="0" w:footer="0" w:header="0"/>
        </w:sectPr>
      </w:pPr>
    </w:p>
    <w:bookmarkStart w:id="199" w:name="page200"/>
    <w:bookmarkEnd w:id="199"/>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 Without limiting the generality of any other provision hereof,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Participant hereby expressly acknowledges that Section 10.8 (“</w:t>
      </w:r>
      <w:r>
        <w:rPr>
          <w:rFonts w:ascii="Times New Roman" w:cs="Times New Roman" w:eastAsia="Times New Roman" w:hAnsi="Times New Roman"/>
          <w:sz w:val="20"/>
          <w:szCs w:val="20"/>
          <w:i w:val="1"/>
          <w:iCs w:val="1"/>
          <w:color w:val="auto"/>
        </w:rPr>
        <w:t>Lock-Up Period</w:t>
      </w:r>
      <w:r>
        <w:rPr>
          <w:rFonts w:ascii="Times New Roman" w:cs="Times New Roman" w:eastAsia="Times New Roman" w:hAnsi="Times New Roman"/>
          <w:sz w:val="20"/>
          <w:szCs w:val="20"/>
          <w:color w:val="auto"/>
        </w:rPr>
        <w:t>”) of the Plan is expressly incorporated into this Agreement and are applicable to the Shares issued pursuant to this Agreement. In addition, the Award and any Shares underlying the RSUs shall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subject to the applicable restrictions provided in the Sub-Plan.</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75" w:lineRule="exact"/>
        <w:rPr>
          <w:sz w:val="20"/>
          <w:szCs w:val="20"/>
          <w:color w:val="auto"/>
        </w:rPr>
      </w:pPr>
    </w:p>
    <w:p>
      <w:pPr>
        <w:jc w:val="both"/>
        <w:ind w:firstLine="1304"/>
        <w:spacing w:after="0" w:line="230" w:lineRule="auto"/>
        <w:tabs>
          <w:tab w:leader="none" w:pos="19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4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5.2,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48"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number. Any notice to be given under the terms of this Agreement to Participant must be in writing and addressed to Participant at Participant’s last known mailing address, email address or facsimile number in the Company’s personnel files. By a notice given pursuant to</w:t>
      </w:r>
    </w:p>
    <w:p>
      <w:pPr>
        <w:spacing w:after="0" w:line="211"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w:t>
      </w:r>
    </w:p>
    <w:p>
      <w:pPr>
        <w:spacing w:after="0" w:line="204" w:lineRule="auto"/>
        <w:rPr>
          <w:sz w:val="20"/>
          <w:szCs w:val="20"/>
          <w:color w:val="auto"/>
        </w:rPr>
      </w:pPr>
      <w:r>
        <w:rPr>
          <w:rFonts w:ascii="Times New Roman" w:cs="Times New Roman" w:eastAsia="Times New Roman" w:hAnsi="Times New Roman"/>
          <w:sz w:val="20"/>
          <w:szCs w:val="20"/>
          <w:color w:val="auto"/>
        </w:rPr>
        <w:t>actually received, when sent by email, when sent by certified mail (return receipt requested) and deposited with postage prepaid in a post office or branch post office regularly maintained by the United States Postal Service or any equivalent non-U.S. postal service, when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delivered by a nationally recognized express shipping company or upon receipt of a facsimile transmission confirmation.</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Participant acknowledges that the Plan, the Grant Notice and this Agreement are intended to</w:t>
      </w:r>
    </w:p>
    <w:p>
      <w:pPr>
        <w:spacing w:after="0" w:line="221" w:lineRule="auto"/>
        <w:rPr>
          <w:sz w:val="20"/>
          <w:szCs w:val="20"/>
          <w:color w:val="auto"/>
        </w:rPr>
      </w:pPr>
      <w:r>
        <w:rPr>
          <w:rFonts w:ascii="Times New Roman" w:cs="Times New Roman" w:eastAsia="Times New Roman" w:hAnsi="Times New Roman"/>
          <w:sz w:val="20"/>
          <w:szCs w:val="20"/>
          <w:color w:val="auto"/>
        </w:rPr>
        <w:t>conform to the extent necessary with all Applicable Laws and, to the extent Applicable Laws permit, will be deemed amended as necessary to conform to Applicable Laws.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under this Agreement to single or multiple assignees, and</w:t>
      </w:r>
    </w:p>
    <w:p>
      <w:pPr>
        <w:spacing w:after="0" w:line="221" w:lineRule="auto"/>
        <w:rPr>
          <w:sz w:val="20"/>
          <w:szCs w:val="20"/>
          <w:color w:val="auto"/>
        </w:rPr>
      </w:pPr>
      <w:r>
        <w:rPr>
          <w:rFonts w:ascii="Times New Roman" w:cs="Times New Roman" w:eastAsia="Times New Roman" w:hAnsi="Times New Roman"/>
          <w:sz w:val="20"/>
          <w:szCs w:val="20"/>
          <w:color w:val="auto"/>
        </w:rPr>
        <w:t>this Agreement will inure to the benefit of the successors and assigns of the Company. Subject to the restrictions on transfer set forth in the Plan,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0"/>
          <w:szCs w:val="20"/>
          <w:color w:val="auto"/>
        </w:rPr>
        <w:t>will be binding upon and inure to the benefit of the heirs, legatees, legal representatives, successors and assigns of the parties hereto.</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w:t>
      </w:r>
    </w:p>
    <w:p>
      <w:pPr>
        <w:spacing w:after="0" w:line="224" w:lineRule="auto"/>
        <w:rPr>
          <w:sz w:val="20"/>
          <w:szCs w:val="20"/>
          <w:color w:val="auto"/>
        </w:rPr>
      </w:pPr>
      <w:r>
        <w:rPr>
          <w:rFonts w:ascii="Times New Roman" w:cs="Times New Roman" w:eastAsia="Times New Roman" w:hAnsi="Times New Roman"/>
          <w:sz w:val="19"/>
          <w:szCs w:val="19"/>
          <w:color w:val="auto"/>
        </w:rPr>
        <w:t>the subject matter hereof, including without limitation, the provisions of any employment agreement or offer letter regarding equity awards to</w:t>
      </w:r>
    </w:p>
    <w:p>
      <w:pPr>
        <w:spacing w:after="0" w:line="204" w:lineRule="auto"/>
        <w:rPr>
          <w:sz w:val="20"/>
          <w:szCs w:val="20"/>
          <w:color w:val="auto"/>
        </w:rPr>
      </w:pPr>
      <w:r>
        <w:rPr>
          <w:rFonts w:ascii="Times New Roman" w:cs="Times New Roman" w:eastAsia="Times New Roman" w:hAnsi="Times New Roman"/>
          <w:sz w:val="20"/>
          <w:szCs w:val="20"/>
          <w:color w:val="auto"/>
        </w:rPr>
        <w:t>be awarded to Participant by the Company, or any other oral, implied or written promises, statements, understandings, undertakings or agreements by the Company or any of its representatives regarding equity awards to be awarded to Participant by the Company. Participant</w:t>
      </w:r>
    </w:p>
    <w:p>
      <w:pPr>
        <w:spacing w:after="0" w:line="211" w:lineRule="auto"/>
        <w:rPr>
          <w:sz w:val="20"/>
          <w:szCs w:val="20"/>
          <w:color w:val="auto"/>
        </w:rPr>
      </w:pPr>
      <w:r>
        <w:rPr>
          <w:rFonts w:ascii="Times New Roman" w:cs="Times New Roman" w:eastAsia="Times New Roman" w:hAnsi="Times New Roman"/>
          <w:sz w:val="20"/>
          <w:szCs w:val="20"/>
          <w:color w:val="auto"/>
        </w:rPr>
        <w:t>hereby agrees to execute such further instruments and to take such further action as the Company requests to carry out the purposes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intent of this Agreement and the Plan, including, without limitation, restrictions on the transferability of the Shares. This Agreement may be amended by the Company in accordance with Section 9.6 of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215"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211" w:lineRule="auto"/>
        <w:rPr>
          <w:sz w:val="20"/>
          <w:szCs w:val="20"/>
          <w:color w:val="auto"/>
        </w:rPr>
      </w:pPr>
      <w:r>
        <w:rPr>
          <w:rFonts w:ascii="Times New Roman" w:cs="Times New Roman" w:eastAsia="Times New Roman" w:hAnsi="Times New Roman"/>
          <w:sz w:val="20"/>
          <w:szCs w:val="20"/>
          <w:color w:val="auto"/>
        </w:rPr>
        <w:t>creditor of the Company with respect to amounts credited and benefits payable, if any, with respect to the RSUs and the Dividend</w:t>
      </w:r>
    </w:p>
    <w:p>
      <w:pPr>
        <w:spacing w:after="0" w:line="221" w:lineRule="auto"/>
        <w:rPr>
          <w:sz w:val="20"/>
          <w:szCs w:val="20"/>
          <w:color w:val="auto"/>
        </w:rPr>
      </w:pPr>
      <w:r>
        <w:rPr>
          <w:rFonts w:ascii="Times New Roman" w:cs="Times New Roman" w:eastAsia="Times New Roman" w:hAnsi="Times New Roman"/>
          <w:sz w:val="20"/>
          <w:szCs w:val="20"/>
          <w:color w:val="auto"/>
        </w:rPr>
        <w:t>Equivalents, and rights no greater than the right to receive the Shares as a general unsecured creditor with respect to the RSUs and the Dividend Equivalents, as and when settled pursuant to the terms of this Agreement.</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w:t>
      </w:r>
    </w:p>
    <w:p>
      <w:pPr>
        <w:spacing w:after="0" w:line="212" w:lineRule="auto"/>
        <w:rPr>
          <w:sz w:val="20"/>
          <w:szCs w:val="20"/>
          <w:color w:val="auto"/>
        </w:rPr>
      </w:pPr>
      <w:r>
        <w:rPr>
          <w:rFonts w:ascii="Times New Roman" w:cs="Times New Roman" w:eastAsia="Times New Roman" w:hAnsi="Times New Roman"/>
          <w:sz w:val="20"/>
          <w:szCs w:val="20"/>
          <w:color w:val="auto"/>
        </w:rPr>
        <w:t>Shares (which may be in book-entry form) will have been issued and recorded on the records of the Company or its transfer agents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registrars, and delivered to Participant (including through electronic delivery to a brokerage account). Except as otherwise provided herein, after such issuance, recordation and delivery, Participant will have all the rights of a stockholder of the Company with respect to such Shares,</w:t>
      </w:r>
    </w:p>
    <w:p>
      <w:pPr>
        <w:spacing w:after="0" w:line="228" w:lineRule="auto"/>
        <w:rPr>
          <w:sz w:val="20"/>
          <w:szCs w:val="20"/>
          <w:color w:val="auto"/>
        </w:rPr>
      </w:pPr>
      <w:r>
        <w:rPr>
          <w:rFonts w:ascii="Times New Roman" w:cs="Times New Roman" w:eastAsia="Times New Roman" w:hAnsi="Times New Roman"/>
          <w:sz w:val="20"/>
          <w:szCs w:val="20"/>
          <w:color w:val="auto"/>
        </w:rPr>
        <w:t>including, without limitation, the right to receipt of dividends and distributions on such Shares. The issuance of Shares under this Award to Participant shall be subject to Participant’s satisfaction of the conditions under Section 10.14 of the Plan.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Related Entity or interferes with or restricts in any way the rights of the Company</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and its Related Entities, which rights are hereby expressly reserved, to discharge or terminate the services of Participant at any time for any reason whatsoever, with or without Cause, except to the extent expressly provided otherwise in a written agreement between the Company or</w:t>
      </w:r>
    </w:p>
    <w:p>
      <w:pPr>
        <w:spacing w:after="0"/>
        <w:rPr>
          <w:sz w:val="20"/>
          <w:szCs w:val="20"/>
          <w:color w:val="auto"/>
        </w:rPr>
      </w:pPr>
      <w:r>
        <w:rPr>
          <w:rFonts w:ascii="Times New Roman" w:cs="Times New Roman" w:eastAsia="Times New Roman" w:hAnsi="Times New Roman"/>
          <w:sz w:val="20"/>
          <w:szCs w:val="20"/>
          <w:color w:val="auto"/>
        </w:rPr>
        <w:t>a Related Entity and Participant.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thereunder, including the RSUs and the Dividend</w:t>
      </w:r>
    </w:p>
    <w:p>
      <w:pPr>
        <w:spacing w:after="0" w:line="221" w:lineRule="auto"/>
        <w:rPr>
          <w:sz w:val="20"/>
          <w:szCs w:val="20"/>
          <w:color w:val="auto"/>
        </w:rPr>
      </w:pPr>
      <w:r>
        <w:rPr>
          <w:rFonts w:ascii="Times New Roman" w:cs="Times New Roman" w:eastAsia="Times New Roman" w:hAnsi="Times New Roman"/>
          <w:sz w:val="20"/>
          <w:szCs w:val="20"/>
          <w:color w:val="auto"/>
        </w:rPr>
        <w:t>Equivalents, shall be governed by and interpreted in accordance with the laws of the State of Delaware, disregarding choice-of-law principles of the law of any state that would require the application of the laws of a jurisdiction other than such state.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20"/>
          <w:szCs w:val="20"/>
          <w:u w:val="single" w:color="auto"/>
          <w:color w:val="auto"/>
        </w:rPr>
        <w:t>Section 3(i) of the ITO</w:t>
      </w:r>
      <w:r>
        <w:rPr>
          <w:rFonts w:ascii="Times New Roman" w:cs="Times New Roman" w:eastAsia="Times New Roman" w:hAnsi="Times New Roman"/>
          <w:sz w:val="20"/>
          <w:szCs w:val="20"/>
          <w:color w:val="auto"/>
        </w:rPr>
        <w:t>. The Grant Notice and this Agreement are subject to the provisions of Section 3(i) of the ITO.</w:t>
      </w:r>
    </w:p>
    <w:p>
      <w:pPr>
        <w:spacing w:after="0" w:line="221" w:lineRule="auto"/>
        <w:rPr>
          <w:sz w:val="20"/>
          <w:szCs w:val="20"/>
          <w:color w:val="auto"/>
        </w:rPr>
      </w:pPr>
      <w:r>
        <w:rPr>
          <w:rFonts w:ascii="Times New Roman" w:cs="Times New Roman" w:eastAsia="Times New Roman" w:hAnsi="Times New Roman"/>
          <w:sz w:val="20"/>
          <w:szCs w:val="20"/>
          <w:color w:val="auto"/>
        </w:rPr>
        <w:t>Accordingly, the taxable income that should be attributed to Participant as a result of the grant of the RSUs or Dividend Equivalents will be tax-free on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0"/>
          <w:szCs w:val="20"/>
          <w:color w:val="auto"/>
        </w:rPr>
        <w:t>grant, but will be taxed on the settlement of the RSUs or Dividend Equivalents into Shares. At the time of the settlement of the RSUs or</w:t>
      </w:r>
    </w:p>
    <w:p>
      <w:pPr>
        <w:spacing w:after="0" w:line="201" w:lineRule="auto"/>
        <w:rPr>
          <w:sz w:val="20"/>
          <w:szCs w:val="20"/>
          <w:color w:val="auto"/>
        </w:rPr>
      </w:pPr>
      <w:r>
        <w:rPr>
          <w:rFonts w:ascii="Times New Roman" w:cs="Times New Roman" w:eastAsia="Times New Roman" w:hAnsi="Times New Roman"/>
          <w:sz w:val="20"/>
          <w:szCs w:val="20"/>
          <w:color w:val="auto"/>
        </w:rPr>
        <w:t>Dividend Equivalents into Shares, Participant shall be subject to income tax at marginal tax rates, plus national and health insurance tax, which will be calculated, in general, according to the difference between (a) the market price (or the actual sale price) of the Shares at such</w:t>
      </w:r>
    </w:p>
    <w:p>
      <w:pPr>
        <w:spacing w:after="0" w:line="181" w:lineRule="auto"/>
        <w:rPr>
          <w:sz w:val="20"/>
          <w:szCs w:val="20"/>
          <w:color w:val="auto"/>
        </w:rPr>
      </w:pPr>
      <w:r>
        <w:rPr>
          <w:rFonts w:ascii="Times New Roman" w:cs="Times New Roman" w:eastAsia="Times New Roman" w:hAnsi="Times New Roman"/>
          <w:sz w:val="19"/>
          <w:szCs w:val="19"/>
          <w:color w:val="auto"/>
        </w:rPr>
        <w:t>time, and (b) the consideration paid for the Shares, if any.</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The tax consequences resulting from the settlement of the RSUs or Dividend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Equivalents into Shares are Participant’s sole and absolute responsibility, and payment of the tax is a precondition for the settlement of the RSUs or Dividend Equivalents into Shares. According to Applicable Law, pursuant to Section 4.2 of this Agreement, the Company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withhold the tax that is levied upon the settlement of the RSUs or Dividend Equivalents into Shares.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5.16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w:t>
      </w:r>
    </w:p>
    <w:p>
      <w:pPr>
        <w:spacing w:after="0" w:line="212" w:lineRule="auto"/>
        <w:rPr>
          <w:sz w:val="20"/>
          <w:szCs w:val="20"/>
          <w:color w:val="auto"/>
        </w:rPr>
      </w:pPr>
      <w:r>
        <w:rPr>
          <w:rFonts w:ascii="Times New Roman" w:cs="Times New Roman" w:eastAsia="Times New Roman" w:hAnsi="Times New Roman"/>
          <w:sz w:val="20"/>
          <w:szCs w:val="20"/>
          <w:color w:val="auto"/>
        </w:rPr>
        <w:t>additional limitations set forth in any applicable exemptive rule under Section 16 of the Exchange Act (including any amendment to Rule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16459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8"/>
        <w:spacing w:after="0" w:line="220" w:lineRule="auto"/>
        <w:tabs>
          <w:tab w:leader="none" w:pos="127" w:val="left"/>
        </w:tabs>
        <w:numPr>
          <w:ilvl w:val="0"/>
          <w:numId w:val="8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The above tax description is a general summary only and does not refer to expenses involved with the settlement of the RSUs into Shares and sale of Shares or changes in the Israeli Consumer Price Index, which may impact the final tax calculation.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394" w:right="339" w:bottom="1440" w:gutter="0" w:footer="0" w:header="0"/>
        </w:sectPr>
      </w:pPr>
    </w:p>
    <w:bookmarkStart w:id="202" w:name="page203"/>
    <w:bookmarkEnd w:id="202"/>
    <w:p>
      <w:pPr>
        <w:ind w:left="10060"/>
        <w:spacing w:after="0"/>
        <w:rPr>
          <w:sz w:val="20"/>
          <w:szCs w:val="20"/>
          <w:color w:val="auto"/>
        </w:rPr>
      </w:pPr>
      <w:r>
        <w:rPr>
          <w:rFonts w:ascii="Times New Roman" w:cs="Times New Roman" w:eastAsia="Times New Roman" w:hAnsi="Times New Roman"/>
          <w:sz w:val="19"/>
          <w:szCs w:val="19"/>
          <w:b w:val="1"/>
          <w:bCs w:val="1"/>
          <w:color w:val="auto"/>
        </w:rPr>
        <w:t>Exhibit 10.6.7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718185</wp:posOffset>
            </wp:positionV>
            <wp:extent cx="7140575" cy="6261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405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PARTICIPANTS OUTSIDE OF THE UNITED STATES</w:t>
      </w:r>
    </w:p>
    <w:p>
      <w:pPr>
        <w:spacing w:after="0" w:line="25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xml:space="preserve">”), subject to the terms and conditions of the Plan and the Restricted Stock Unit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(including any additional terms and conditions for Participant’s country included in the appendix attached hereto)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Each RSU is hereby granted in tandem with a corresponding dividend equivalent to the extent a portion of such RSU is vested, as further described in Article III of the Agreement (the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4300" w:type="dxa"/>
            <w:vAlign w:val="bottom"/>
          </w:tcPr>
          <w:p>
            <w:pPr>
              <w:ind w:left="800"/>
              <w:spacing w:after="0"/>
              <w:rPr>
                <w:sz w:val="20"/>
                <w:szCs w:val="20"/>
                <w:color w:val="auto"/>
              </w:rPr>
            </w:pPr>
            <w:r>
              <w:rPr>
                <w:rFonts w:ascii="Times New Roman" w:cs="Times New Roman" w:eastAsia="Times New Roman" w:hAnsi="Times New Roman"/>
                <w:sz w:val="20"/>
                <w:szCs w:val="20"/>
                <w:i w:val="1"/>
                <w:iCs w:val="1"/>
                <w:color w:val="auto"/>
              </w:rPr>
              <w:t>###PARTICIPANT_NAME###</w:t>
            </w:r>
          </w:p>
        </w:tc>
        <w:tc>
          <w:tcPr>
            <w:tcW w:w="0" w:type="dxa"/>
            <w:vAlign w:val="bottom"/>
          </w:tcPr>
          <w:p>
            <w:pPr>
              <w:spacing w:after="0"/>
              <w:rPr>
                <w:sz w:val="1"/>
                <w:szCs w:val="1"/>
                <w:color w:val="auto"/>
              </w:rPr>
            </w:pPr>
          </w:p>
        </w:tc>
      </w:tr>
      <w:tr>
        <w:trPr>
          <w:trHeight w:val="499"/>
        </w:trPr>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4300" w:type="dxa"/>
            <w:vAlign w:val="bottom"/>
          </w:tcPr>
          <w:p>
            <w:pPr>
              <w:ind w:left="800"/>
              <w:spacing w:after="0"/>
              <w:rPr>
                <w:sz w:val="20"/>
                <w:szCs w:val="20"/>
                <w:color w:val="auto"/>
              </w:rPr>
            </w:pPr>
            <w:r>
              <w:rPr>
                <w:rFonts w:ascii="Times New Roman" w:cs="Times New Roman" w:eastAsia="Times New Roman" w:hAnsi="Times New Roman"/>
                <w:sz w:val="20"/>
                <w:szCs w:val="20"/>
                <w:i w:val="1"/>
                <w:iCs w:val="1"/>
                <w:color w:val="auto"/>
              </w:rPr>
              <w:t>###GRANT_DATE###</w:t>
            </w:r>
          </w:p>
        </w:tc>
        <w:tc>
          <w:tcPr>
            <w:tcW w:w="0" w:type="dxa"/>
            <w:vAlign w:val="bottom"/>
          </w:tcPr>
          <w:p>
            <w:pPr>
              <w:spacing w:after="0"/>
              <w:rPr>
                <w:sz w:val="1"/>
                <w:szCs w:val="1"/>
                <w:color w:val="auto"/>
              </w:rPr>
            </w:pPr>
          </w:p>
        </w:tc>
      </w:tr>
      <w:tr>
        <w:trPr>
          <w:trHeight w:val="500"/>
        </w:trPr>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4300" w:type="dxa"/>
            <w:vAlign w:val="bottom"/>
            <w:vMerge w:val="restart"/>
          </w:tcPr>
          <w:p>
            <w:pPr>
              <w:ind w:left="800"/>
              <w:spacing w:after="0"/>
              <w:rPr>
                <w:sz w:val="20"/>
                <w:szCs w:val="20"/>
                <w:color w:val="auto"/>
              </w:rPr>
            </w:pPr>
            <w:r>
              <w:rPr>
                <w:rFonts w:ascii="Times New Roman" w:cs="Times New Roman" w:eastAsia="Times New Roman" w:hAnsi="Times New Roman"/>
                <w:sz w:val="20"/>
                <w:szCs w:val="20"/>
                <w:i w:val="1"/>
                <w:iCs w:val="1"/>
                <w:color w:val="auto"/>
              </w:rPr>
              <w:t>###TOTAL_AWARDS###</w:t>
            </w:r>
          </w:p>
        </w:tc>
        <w:tc>
          <w:tcPr>
            <w:tcW w:w="0" w:type="dxa"/>
            <w:vAlign w:val="bottom"/>
          </w:tcPr>
          <w:p>
            <w:pPr>
              <w:spacing w:after="0"/>
              <w:rPr>
                <w:sz w:val="1"/>
                <w:szCs w:val="1"/>
                <w:color w:val="auto"/>
              </w:rPr>
            </w:pPr>
          </w:p>
        </w:tc>
      </w:tr>
      <w:tr>
        <w:trPr>
          <w:trHeight w:val="81"/>
        </w:trPr>
        <w:tc>
          <w:tcPr>
            <w:tcW w:w="3700" w:type="dxa"/>
            <w:vAlign w:val="bottom"/>
          </w:tcPr>
          <w:p>
            <w:pPr>
              <w:spacing w:after="0"/>
              <w:rPr>
                <w:sz w:val="7"/>
                <w:szCs w:val="7"/>
                <w:color w:val="auto"/>
              </w:rPr>
            </w:pPr>
          </w:p>
        </w:tc>
        <w:tc>
          <w:tcPr>
            <w:tcW w:w="4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4300" w:type="dxa"/>
            <w:vAlign w:val="bottom"/>
          </w:tcPr>
          <w:p>
            <w:pPr>
              <w:ind w:left="760"/>
              <w:spacing w:after="0"/>
              <w:rPr>
                <w:sz w:val="20"/>
                <w:szCs w:val="20"/>
                <w:color w:val="auto"/>
              </w:rPr>
            </w:pPr>
            <w:r>
              <w:rPr>
                <w:rFonts w:ascii="Times New Roman" w:cs="Times New Roman" w:eastAsia="Times New Roman" w:hAnsi="Times New Roman"/>
                <w:sz w:val="20"/>
                <w:szCs w:val="20"/>
                <w:i w:val="1"/>
                <w:iCs w:val="1"/>
                <w:color w:val="auto"/>
                <w:w w:val="98"/>
              </w:rPr>
              <w:t>###ALTERNATIVE_VEST_BASE_DATE###</w:t>
            </w:r>
          </w:p>
        </w:tc>
        <w:tc>
          <w:tcPr>
            <w:tcW w:w="0" w:type="dxa"/>
            <w:vAlign w:val="bottom"/>
          </w:tcPr>
          <w:p>
            <w:pPr>
              <w:spacing w:after="0"/>
              <w:rPr>
                <w:sz w:val="1"/>
                <w:szCs w:val="1"/>
                <w:color w:val="auto"/>
              </w:rPr>
            </w:pPr>
          </w:p>
        </w:tc>
      </w:tr>
      <w:tr>
        <w:trPr>
          <w:trHeight w:val="500"/>
        </w:trPr>
        <w:tc>
          <w:tcPr>
            <w:tcW w:w="37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###VEST_SCHEDULE_TABLE###</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ectPr>
          <w:pgSz w:w="11900" w:h="16838" w:orient="portrait"/>
          <w:cols w:equalWidth="0" w:num="1">
            <w:col w:w="11240"/>
          </w:cols>
          <w:pgMar w:left="320" w:top="114" w:right="339" w:bottom="1440" w:gutter="0" w:footer="0" w:header="0"/>
        </w:sectPr>
      </w:pPr>
    </w:p>
    <w:bookmarkStart w:id="203" w:name="page204"/>
    <w:bookmarkEnd w:id="203"/>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500"/>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460" w:type="dxa"/>
            <w:vAlign w:val="bottom"/>
          </w:tcPr>
          <w:p>
            <w:pPr>
              <w:spacing w:after="0"/>
              <w:rPr>
                <w:sz w:val="24"/>
                <w:szCs w:val="24"/>
                <w:color w:val="auto"/>
              </w:rPr>
            </w:pPr>
          </w:p>
        </w:tc>
      </w:tr>
      <w:tr>
        <w:trPr>
          <w:trHeight w:val="499"/>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Print Name:</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Print Name:</w:t>
            </w:r>
          </w:p>
        </w:tc>
      </w:tr>
      <w:tr>
        <w:trPr>
          <w:trHeight w:val="223"/>
        </w:trPr>
        <w:tc>
          <w:tcPr>
            <w:tcW w:w="1420" w:type="dxa"/>
            <w:vAlign w:val="bottom"/>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r>
        <w:trPr>
          <w:trHeight w:val="256"/>
        </w:trPr>
        <w:tc>
          <w:tcPr>
            <w:tcW w:w="5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460" w:type="dxa"/>
            <w:vAlign w:val="bottom"/>
          </w:tcPr>
          <w:p>
            <w:pPr>
              <w:spacing w:after="0"/>
              <w:rPr>
                <w:sz w:val="22"/>
                <w:szCs w:val="22"/>
                <w:color w:val="auto"/>
              </w:rPr>
            </w:pPr>
          </w:p>
        </w:tc>
      </w:tr>
      <w:tr>
        <w:trPr>
          <w:trHeight w:val="224"/>
        </w:trPr>
        <w:tc>
          <w:tcPr>
            <w:tcW w:w="1420" w:type="dxa"/>
            <w:vAlign w:val="bottom"/>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1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-7620</wp:posOffset>
            </wp:positionV>
            <wp:extent cx="26314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-325120</wp:posOffset>
            </wp:positionV>
            <wp:extent cx="26314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0019"/>
          </w:cols>
          <w:pgMar w:left="440" w:top="1440" w:right="1440"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 and Dividend Equivalents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RSUs have vested. Each vested portion of the RSU has a corresponding Dividend Equivalent as described in Article III.</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Dividend Equivalents are subject to the terms and conditions set forth in this Agreement (including any additional terms and conditions for Participant’s country set forth in the appendix attached hereto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Appendix</w:t>
      </w:r>
      <w:r>
        <w:rPr>
          <w:rFonts w:ascii="Times New Roman" w:cs="Times New Roman" w:eastAsia="Times New Roman" w:hAnsi="Times New Roman"/>
          <w:sz w:val="20"/>
          <w:szCs w:val="20"/>
          <w:color w:val="auto"/>
        </w:rPr>
        <w:t>”)) and the Plan, which is incorporated herein by reference. In the event of any inconsistency between the Plan and this Agreement, the terms of the Plan will control.</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 except that any fraction of an RSU that would otherwise be vested will be accumulated and will vest only when a whole RSU has</w:t>
      </w:r>
    </w:p>
    <w:p>
      <w:pPr>
        <w:spacing w:after="0" w:line="213" w:lineRule="auto"/>
        <w:rPr>
          <w:sz w:val="20"/>
          <w:szCs w:val="20"/>
          <w:color w:val="auto"/>
        </w:rPr>
      </w:pPr>
      <w:r>
        <w:rPr>
          <w:rFonts w:ascii="Times New Roman" w:cs="Times New Roman" w:eastAsia="Times New Roman" w:hAnsi="Times New Roman"/>
          <w:sz w:val="20"/>
          <w:szCs w:val="20"/>
          <w:color w:val="auto"/>
        </w:rPr>
        <w:t>accumulated. Except as provided in the Grant Notice, in the event of Participant’s Termination of Service for any reason, all unvested RSUs</w:t>
      </w:r>
    </w:p>
    <w:p>
      <w:pPr>
        <w:ind w:right="20"/>
        <w:spacing w:after="0" w:line="221" w:lineRule="auto"/>
        <w:rPr>
          <w:sz w:val="20"/>
          <w:szCs w:val="20"/>
          <w:color w:val="auto"/>
        </w:rPr>
      </w:pPr>
      <w:r>
        <w:rPr>
          <w:rFonts w:ascii="Times New Roman" w:cs="Times New Roman" w:eastAsia="Times New Roman" w:hAnsi="Times New Roman"/>
          <w:sz w:val="20"/>
          <w:szCs w:val="20"/>
          <w:color w:val="auto"/>
        </w:rPr>
        <w:t>and any unpaid Dividend Equivalents will immediately and automatically be cancelled and forfeited, except as otherwise determined by the Administrator or provided in a binding written agreement between Participant and the Company or the Employer (as defined below).</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8" w:lineRule="auto"/>
        <w:tabs>
          <w:tab w:leader="none" w:pos="193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RSUs (including any RSUs credited as Dividend Equivalents) will be paid in Shares as soon as administratively practicable after the vesting of the applicable RSU, but in no event more than sixty days after the applicable vesting date. Neither the time nor form of distribution of Shares with respect to the RSUs may be changed, except as may be permitted by the Administrator in accordance with the Plan and Section 409A of the Code and the Treasury Regulations thereunder.</w:t>
      </w:r>
    </w:p>
    <w:p>
      <w:pPr>
        <w:spacing w:after="0" w:line="16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time nor form of distribution of Shares with respect to the RSUs or the Dividend Equivalents may be changed, except as may be permitted by the Administrator in accordance with the Plan and Section 409A of the Code and the Treasury Regulations thereunder.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pacing w:after="0" w:line="1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Award of Dividend Equivalents</w:t>
      </w:r>
      <w:r>
        <w:rPr>
          <w:rFonts w:ascii="Times New Roman" w:cs="Times New Roman" w:eastAsia="Times New Roman" w:hAnsi="Times New Roman"/>
          <w:sz w:val="20"/>
          <w:szCs w:val="20"/>
          <w:color w:val="auto"/>
        </w:rPr>
        <w:t>. To the extent a portion of an RSU has vested, but such vested portion of such RSU has not yet settled pursuant to Section 2.2, such vested portion of such RSU</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09"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0"/>
          <w:szCs w:val="20"/>
          <w:color w:val="auto"/>
        </w:rPr>
        <w:t>granted hereunder is hereby granted in tandem with a corresponding Dividend Equivalent, which Dividend Equivalent shall remain</w:t>
      </w:r>
    </w:p>
    <w:p>
      <w:pPr>
        <w:ind w:right="20"/>
        <w:spacing w:after="0" w:line="204" w:lineRule="auto"/>
        <w:rPr>
          <w:sz w:val="20"/>
          <w:szCs w:val="20"/>
          <w:color w:val="auto"/>
        </w:rPr>
      </w:pPr>
      <w:r>
        <w:rPr>
          <w:rFonts w:ascii="Times New Roman" w:cs="Times New Roman" w:eastAsia="Times New Roman" w:hAnsi="Times New Roman"/>
          <w:sz w:val="20"/>
          <w:szCs w:val="20"/>
          <w:color w:val="auto"/>
        </w:rPr>
        <w:t>outstanding from such date of vesting until the earlier of the settlement or forfeiture of the RSU to which it corresponds. Pursuant to each outstanding Dividend Equivalent, Participant shall be entitled to receive additional RSUs (or cash as set forth in Section 3.4) equal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value of any dividends, if any, that Participant would have received in respect of the Share underlying the RSU to which such Dividend Equivalent relates, had such Share been outstanding on the applicable dividend record date.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RSUs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202" w:lineRule="exact"/>
        <w:rPr>
          <w:sz w:val="20"/>
          <w:szCs w:val="20"/>
          <w:color w:val="auto"/>
        </w:rPr>
      </w:pPr>
    </w:p>
    <w:p>
      <w:pPr>
        <w:jc w:val="both"/>
        <w:ind w:firstLine="1304"/>
        <w:spacing w:after="0" w:line="258" w:lineRule="auto"/>
        <w:tabs>
          <w:tab w:leader="none" w:pos="185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RSUs equal to the quotient of (i) the total number of vested RSUs subject to this Award but not yet distributed, multiplied by the per Share dollar amount of such dividend, divided by (ii) the Fair Market Value of a Share on the date such dividend is paid;</w:t>
      </w:r>
    </w:p>
    <w:p>
      <w:pPr>
        <w:spacing w:after="0" w:line="199" w:lineRule="exact"/>
        <w:rPr>
          <w:rFonts w:ascii="Times New Roman" w:cs="Times New Roman" w:eastAsia="Times New Roman" w:hAnsi="Times New Roman"/>
          <w:sz w:val="20"/>
          <w:szCs w:val="20"/>
          <w:color w:val="auto"/>
        </w:rPr>
      </w:pPr>
    </w:p>
    <w:p>
      <w:pPr>
        <w:jc w:val="both"/>
        <w:ind w:firstLine="1304"/>
        <w:spacing w:after="0" w:line="268" w:lineRule="auto"/>
        <w:tabs>
          <w:tab w:leader="none" w:pos="185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RSUs equal to the product of (i) the total number of vested RSUs subject to this Award but not yet distributed, multiplied by (ii) the number of Shares distributed with respect to such dividend per Share; or</w:t>
      </w:r>
    </w:p>
    <w:p>
      <w:pPr>
        <w:spacing w:after="0" w:line="188"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RSUs subject to this Award but not yet distributed, as determined in the sole discretion of the Administrator.</w:t>
      </w:r>
    </w:p>
    <w:p>
      <w:pPr>
        <w:spacing w:after="0" w:line="20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RSUs Subject to Same Terms</w:t>
      </w:r>
      <w:r>
        <w:rPr>
          <w:rFonts w:ascii="Times New Roman" w:cs="Times New Roman" w:eastAsia="Times New Roman" w:hAnsi="Times New Roman"/>
          <w:sz w:val="20"/>
          <w:szCs w:val="20"/>
          <w:color w:val="auto"/>
        </w:rPr>
        <w:t>. To the extent that any additional RSUs are credited to Participant in respect of Participant’s Dividend Equivalent rights, such additional RSUs shall be subject to the same terms as the original RSUs to which they relate.</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RSU to which such Dividend Equivalent right corresponds or (ii) the delivery to Participant of payment for the RSU (in accordance with Section 2.2 above) to which such Dividend Equivalent right corresponds. For the avoidance of doubt, if a Dividend Equivalent right terminates after the applicable record date for a Company dividend (other than due to the forfeiture of the RSU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RSUs to be paid in Shares) within thirty days following the applicable dividend payment date. Further, if no dividend (or dividend record date) is declared by the Board prior to the date of forfeiture or date of settlement of the RSU to which such Dividend Equivalent right corresponds, such Dividend Equivalent shall automatically be cancelled on such forfeiture date or settlement date.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Dividend Equivalent rights and any amounts that may become distributable in respect thereof shall be treated separately from the RSUs and the rights arising in connection therewith for purposes of the designation of time and form of payments required by Section 409A.</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4" w:right="339" w:bottom="1440" w:gutter="0" w:footer="0" w:header="0"/>
        </w:sectPr>
      </w:pPr>
    </w:p>
    <w:bookmarkStart w:id="206" w:name="page207"/>
    <w:bookmarkEnd w:id="206"/>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0"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any action the Company, any Related Entity or Participant’s employing company, if different (the “</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Company Group</w:t>
      </w:r>
      <w:r>
        <w:rPr>
          <w:rFonts w:ascii="Times New Roman" w:cs="Times New Roman" w:eastAsia="Times New Roman" w:hAnsi="Times New Roman"/>
          <w:sz w:val="20"/>
          <w:szCs w:val="20"/>
          <w:color w:val="auto"/>
        </w:rPr>
        <w:t>”) takes with respect to any or all Tax Obligations (as defined below), Participant understands that Participant (and not the Company) shall be responsible for any Tax Obligations, which may exceed the amount actually withheld by the Company Group. Participant agrees to indemnify and keep indemnified the Company Group from and against any such Tax Obligations.</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8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obligated to deliver any certificate representing Shares issuable with respect to the RSUs or the Dividend Equivalents to Participant or his or her legal representative unless and until Participant or his or her legal representative shall have paid or otherwise satisfied in full the Tax Obligations resulting from the grant, vesting or settlement of the RSUs or the Dividend Equivalents, the distribution of the Shares issuable with respect thereto, or any other taxable event related to the RSUs or the Dividend Equivalents. Participant acknowledges that if Participant is subject to Tax Obligations in more than one jurisdiction, the Company Group may be required to withhold or account for Tax Obligations in more than one jurisdiction. Participant agrees to pay the Company Group any Tax Obligations that cannot be satisfied by the means described in this Section 4.2.</w:t>
      </w:r>
    </w:p>
    <w:p>
      <w:pPr>
        <w:spacing w:after="0" w:line="164"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specifically authorizes the Company Group, or their respective agents, to satisfy Participant’s obligations in regards to any Tax Obligations through the withholding by the Company Group or their respective agents from any wages or other compensation paid or payable to Participant an amount sufficient to satisfy such Tax Obligations. Unless Participant elects to satisfy the Tax Obligation by some other means in accordance with Section 9.5 of the Plan, Participant’s acceptance of this Award constitutes Participant’s instruction and authorization to the Company to, and the Company shall, with respect to the Tax Obligation arising as a result of the grant, vesting or settlement of the RSUs (including additional RSUs granted pursuant to Section 3.2), withhold a net number of vested Shares otherwise issuable pursuant to the RSUs having a then-current Fair Market Value not exceeding the amount necessary to satisfy the Tax Obligations with respect to the vesting or distribution of the RSUs.</w:t>
      </w:r>
    </w:p>
    <w:p>
      <w:pPr>
        <w:spacing w:after="0" w:line="15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i w:val="1"/>
          <w:iCs w:val="1"/>
          <w:color w:val="auto"/>
        </w:rPr>
        <w:t>Tax Obligations</w:t>
      </w:r>
      <w:r>
        <w:rPr>
          <w:rFonts w:ascii="Times New Roman" w:cs="Times New Roman" w:eastAsia="Times New Roman" w:hAnsi="Times New Roman"/>
          <w:sz w:val="20"/>
          <w:szCs w:val="20"/>
          <w:color w:val="auto"/>
        </w:rPr>
        <w:t>” shall mean (i) all federal, state, local and foreign withholding or other taxes applicable to Participant’s taxable income, plus (ii) if permitted under the laws of the jurisdiction in which Participant resides, any liability of the Company Group for income tax, withholding tax, wage tax, solidarity surcharge, and any other employment related taxes or social security contributions in any jurisdiction, in each case resulting from the grant or vesting of the RSUs, the distribution of the Shares issuable with respect thereto, or any other taxable event related to the RSUs.</w:t>
      </w:r>
    </w:p>
    <w:p>
      <w:pPr>
        <w:spacing w:after="0" w:line="15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Company may withhold or account for Tax Obligations by considering statutory withholding amounts or other applicable withholding rates, including maximum rates applicable in Participant’s jurisdiction(s). In the event of over-withholding, Participant may receive a refund of any over-withheld amount in cash and (with no entitlement to the equivalent in Shares) or if not refunded, Participant may seek a refund from the local tax authorities. In the event of under-withholding, Participant may be required to pay any additional Tax Obligations directly to the applicable tax authority or to the Company Group. The satisfaction of the Tax Obligations shall be subject to any limitations set forth in Section 9.5 of the Plan to the extent required to avoid the liability classification of the applicable award under generally accepted accounting principles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4" w:right="339" w:bottom="1440" w:gutter="0" w:footer="0" w:header="0"/>
        </w:sectPr>
      </w:pPr>
    </w:p>
    <w:bookmarkStart w:id="207" w:name="page208"/>
    <w:bookmarkEnd w:id="207"/>
    <w:p>
      <w:pPr>
        <w:jc w:val="both"/>
        <w:ind w:firstLine="1304"/>
        <w:spacing w:after="0" w:line="216" w:lineRule="auto"/>
        <w:tabs>
          <w:tab w:leader="none" w:pos="193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 Obligations in connection with the RSUs and the Dividend Equivalents, regardless of any action the Company Group takes with respect to any Tax Obligations that arise in connection with the RSUs and the Dividend Equivalents. Neither the Company nor any member of the Company Group makes any representation or undertaking regarding the tax treatment to Participant in connection with the awarding, vesting or payment of the RSUs and the Dividend Equivalents or the subsequent sale of Shares. The Company Group does not commit and are under no obligation to structure the RSUs and the Dividend Equivalents to reduce or eliminate Participant’s tax liability.</w:t>
      </w:r>
    </w:p>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xml:space="preserve">. Without limiting the generality of any other provision hereof, and notwithstanding the restrictions on transferability set forth in Section 9.1 of the Plan, </w:t>
      </w:r>
      <w:r>
        <w:rPr>
          <w:rFonts w:ascii="Times New Roman" w:cs="Times New Roman" w:eastAsia="Times New Roman" w:hAnsi="Times New Roman"/>
          <w:sz w:val="20"/>
          <w:szCs w:val="20"/>
          <w:u w:val="single" w:color="auto"/>
          <w:color w:val="auto"/>
        </w:rPr>
        <w:t>this Award shall not be transferable except by will or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laws of descent and distribution</w:t>
      </w:r>
      <w:r>
        <w:rPr>
          <w:rFonts w:ascii="Times New Roman" w:cs="Times New Roman" w:eastAsia="Times New Roman" w:hAnsi="Times New Roman"/>
          <w:sz w:val="20"/>
          <w:szCs w:val="20"/>
          <w:color w:val="auto"/>
        </w:rPr>
        <w:t>. Without limiting the generality of any other provision hereof, Participant hereby expressly acknowledges that Section 10.8 (“Lock-Up Period”) of the Plan is expressly incorporated into this Agreement and are applicable to the Shares issued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this Agreement.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75" w:lineRule="exact"/>
        <w:rPr>
          <w:sz w:val="20"/>
          <w:szCs w:val="20"/>
          <w:color w:val="auto"/>
        </w:rPr>
      </w:pPr>
    </w:p>
    <w:p>
      <w:pPr>
        <w:jc w:val="both"/>
        <w:ind w:firstLine="1304"/>
        <w:spacing w:after="0" w:line="230"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5.2,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Dividend Equivalents and the Shares issuable with respect thereto are subject to adjustment, modification and termination in certain events as provided in this Agreement and the Plan.</w:t>
      </w:r>
    </w:p>
    <w:p>
      <w:pPr>
        <w:spacing w:after="0" w:line="148"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number. Any notice to be given under the terms of this Agreement to Participant must be in writing and addressed to Participant at Participant’s last known mailing address, email address or facsimile number in the Company’s personnel files. By a notice given pursuant to</w:t>
      </w:r>
    </w:p>
    <w:p>
      <w:pPr>
        <w:spacing w:after="0" w:line="211"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w:t>
      </w:r>
    </w:p>
    <w:p>
      <w:pPr>
        <w:spacing w:after="0" w:line="204" w:lineRule="auto"/>
        <w:rPr>
          <w:sz w:val="20"/>
          <w:szCs w:val="20"/>
          <w:color w:val="auto"/>
        </w:rPr>
      </w:pPr>
      <w:r>
        <w:rPr>
          <w:rFonts w:ascii="Times New Roman" w:cs="Times New Roman" w:eastAsia="Times New Roman" w:hAnsi="Times New Roman"/>
          <w:sz w:val="20"/>
          <w:szCs w:val="20"/>
          <w:color w:val="auto"/>
        </w:rPr>
        <w:t>actually received, when sent by email, when sent by certified mail (return receipt requested) and deposited with postage prepaid in a post office or branch post office regularly maintained by the United States Postal Service or any equivalent non-U.S. postal service, when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delivered by a nationally recognized express shipping company or upon receipt of a facsimile transmission confirmation.</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399" w:right="339" w:bottom="1440" w:gutter="0" w:footer="0" w:header="0"/>
        </w:sectPr>
      </w:pPr>
    </w:p>
    <w:bookmarkStart w:id="208" w:name="page209"/>
    <w:bookmarkEnd w:id="20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Participant acknowledges that the Plan, the Grant Notice and this Agreement are intended to</w:t>
      </w:r>
    </w:p>
    <w:p>
      <w:pPr>
        <w:spacing w:after="0" w:line="221" w:lineRule="auto"/>
        <w:rPr>
          <w:sz w:val="20"/>
          <w:szCs w:val="20"/>
          <w:color w:val="auto"/>
        </w:rPr>
      </w:pPr>
      <w:r>
        <w:rPr>
          <w:rFonts w:ascii="Times New Roman" w:cs="Times New Roman" w:eastAsia="Times New Roman" w:hAnsi="Times New Roman"/>
          <w:sz w:val="20"/>
          <w:szCs w:val="20"/>
          <w:color w:val="auto"/>
        </w:rPr>
        <w:t>conform to the extent necessary with all Applicable Laws and, to the extent Applicable Laws permit, will be deemed amended as necessary to conform to Applicable Laws.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under this Agreement to single or multiple assignees, and</w:t>
      </w:r>
    </w:p>
    <w:p>
      <w:pPr>
        <w:spacing w:after="0" w:line="204" w:lineRule="auto"/>
        <w:rPr>
          <w:sz w:val="20"/>
          <w:szCs w:val="20"/>
          <w:color w:val="auto"/>
        </w:rPr>
      </w:pPr>
      <w:r>
        <w:rPr>
          <w:rFonts w:ascii="Times New Roman" w:cs="Times New Roman" w:eastAsia="Times New Roman" w:hAnsi="Times New Roman"/>
          <w:sz w:val="20"/>
          <w:szCs w:val="20"/>
          <w:color w:val="auto"/>
        </w:rPr>
        <w:t>this Agreement will inure to the benefit of the successors and assigns of the Company. Subject to the restrictions on transfer set forth in the Plan, this Agreement will be binding upon and inure to the benefit of the heirs, legatees, legal representatives, successors and assigns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hereto.</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Plan, the Grant Notice and this Agreement (including the Appendix hereto) constitute the entire agreement of the parties and supersede in their entirety all prior undertakings and agreements of the Company and Participant with respect to</w:t>
      </w:r>
    </w:p>
    <w:p>
      <w:pPr>
        <w:spacing w:after="0" w:line="222" w:lineRule="auto"/>
        <w:rPr>
          <w:sz w:val="20"/>
          <w:szCs w:val="20"/>
          <w:color w:val="auto"/>
        </w:rPr>
      </w:pPr>
      <w:r>
        <w:rPr>
          <w:rFonts w:ascii="Times New Roman" w:cs="Times New Roman" w:eastAsia="Times New Roman" w:hAnsi="Times New Roman"/>
          <w:sz w:val="19"/>
          <w:szCs w:val="19"/>
          <w:color w:val="auto"/>
        </w:rPr>
        <w:t>the subject matter hereof, including without limitation, the provisions of any employment agreement or offer letter regarding equity awards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 awarded to Participant by the Company, or any other oral, implied or written promises, statements, understandings, undertakings or agreements by the Company or any of its representatives regarding equity awards to be awarded to Participant by the Company. Participant</w:t>
      </w:r>
    </w:p>
    <w:p>
      <w:pPr>
        <w:spacing w:after="0" w:line="211" w:lineRule="auto"/>
        <w:rPr>
          <w:sz w:val="20"/>
          <w:szCs w:val="20"/>
          <w:color w:val="auto"/>
        </w:rPr>
      </w:pPr>
      <w:r>
        <w:rPr>
          <w:rFonts w:ascii="Times New Roman" w:cs="Times New Roman" w:eastAsia="Times New Roman" w:hAnsi="Times New Roman"/>
          <w:sz w:val="20"/>
          <w:szCs w:val="20"/>
          <w:color w:val="auto"/>
        </w:rPr>
        <w:t>hereby agrees to execute such further instruments and to take such further action as the Company requests to carry out the purposes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intent of this Agreement and the Plan, including, without limitation, restrictions on the transferability of the Shares. This Agreement may be amended by the Company in accordance with Section 9.6 of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w:t>
      </w:r>
    </w:p>
    <w:p>
      <w:pPr>
        <w:spacing w:after="0" w:line="224" w:lineRule="auto"/>
        <w:rPr>
          <w:sz w:val="20"/>
          <w:szCs w:val="20"/>
          <w:color w:val="auto"/>
        </w:rPr>
      </w:pPr>
      <w:r>
        <w:rPr>
          <w:rFonts w:ascii="Times New Roman" w:cs="Times New Roman" w:eastAsia="Times New Roman" w:hAnsi="Times New Roman"/>
          <w:sz w:val="19"/>
          <w:szCs w:val="19"/>
          <w:color w:val="auto"/>
        </w:rPr>
        <w:t>trust. Neither the Plan nor any underlying program, in and of itself, has any assets. Participant will have only the rights of a general unsecured</w:t>
      </w:r>
    </w:p>
    <w:p>
      <w:pPr>
        <w:spacing w:after="0" w:line="204" w:lineRule="auto"/>
        <w:rPr>
          <w:sz w:val="20"/>
          <w:szCs w:val="20"/>
          <w:color w:val="auto"/>
        </w:rPr>
      </w:pPr>
      <w:r>
        <w:rPr>
          <w:rFonts w:ascii="Times New Roman" w:cs="Times New Roman" w:eastAsia="Times New Roman" w:hAnsi="Times New Roman"/>
          <w:sz w:val="20"/>
          <w:szCs w:val="20"/>
          <w:color w:val="auto"/>
        </w:rPr>
        <w:t>creditor of the Company with respect to amounts credited and benefits payable, if any, with respect to the RSUs and the Dividend Equivalents, and rights no greater than the right to receive the Shares as a general unsecured creditor with respect to the RSUs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 Equivalents, as and when settled pursuant to the terms of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w:t>
      </w:r>
    </w:p>
    <w:p>
      <w:pPr>
        <w:spacing w:after="0" w:line="212" w:lineRule="auto"/>
        <w:rPr>
          <w:sz w:val="20"/>
          <w:szCs w:val="20"/>
          <w:color w:val="auto"/>
        </w:rPr>
      </w:pPr>
      <w:r>
        <w:rPr>
          <w:rFonts w:ascii="Times New Roman" w:cs="Times New Roman" w:eastAsia="Times New Roman" w:hAnsi="Times New Roman"/>
          <w:sz w:val="20"/>
          <w:szCs w:val="20"/>
          <w:color w:val="auto"/>
        </w:rPr>
        <w:t>Shares (which may be in book-entry form) will have been issued and recorded on the records of the Company or its transfer agents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registrars, and delivered to Participant (including through electronic delivery to a brokerage account). Except as otherwise provided herein, after such issuance, recordation and delivery, Participant will have all the rights of a stockholder of the Company with respect to such Shares,</w:t>
      </w:r>
    </w:p>
    <w:p>
      <w:pPr>
        <w:spacing w:after="0" w:line="228" w:lineRule="auto"/>
        <w:rPr>
          <w:sz w:val="20"/>
          <w:szCs w:val="20"/>
          <w:color w:val="auto"/>
        </w:rPr>
      </w:pPr>
      <w:r>
        <w:rPr>
          <w:rFonts w:ascii="Times New Roman" w:cs="Times New Roman" w:eastAsia="Times New Roman" w:hAnsi="Times New Roman"/>
          <w:sz w:val="20"/>
          <w:szCs w:val="20"/>
          <w:color w:val="auto"/>
        </w:rPr>
        <w:t>including, without limitation, the right to receipt of dividends and distributions on such Shares. The issuance of Shares under this Award to Participant shall be subject to Participant’s satisfaction of the conditions under Section 10.14 of the Plan.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Group or interferes with or restricts in any way the rights of the Company Group, which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rights are hereby expressly reserved, to discharge or terminate the services of Participant at any time for any reason whatsoever, with or without Cause, except to the extent expressly provided otherwise in a written agreement between the Company or a Related Entity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394" w:right="339" w:bottom="1440" w:gutter="0" w:footer="0" w:header="0"/>
        </w:sectPr>
      </w:pPr>
    </w:p>
    <w:bookmarkStart w:id="209" w:name="page210"/>
    <w:bookmarkEnd w:id="20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864"/>
        <w:spacing w:after="0" w:line="251" w:lineRule="auto"/>
        <w:tabs>
          <w:tab w:leader="none" w:pos="128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Grant Date,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92" w:lineRule="exact"/>
        <w:rPr>
          <w:rFonts w:ascii="Times New Roman" w:cs="Times New Roman" w:eastAsia="Times New Roman" w:hAnsi="Times New Roman"/>
          <w:sz w:val="20"/>
          <w:szCs w:val="20"/>
          <w:color w:val="auto"/>
        </w:rPr>
      </w:pPr>
    </w:p>
    <w:p>
      <w:pPr>
        <w:jc w:val="both"/>
        <w:ind w:firstLine="895"/>
        <w:spacing w:after="0" w:line="233" w:lineRule="auto"/>
        <w:tabs>
          <w:tab w:leader="none" w:pos="135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not intended to provide for any deferral of compensation subject to Section 409A, and, accordingly, the Shares issuable pursuant to the RSUs (including RSUs credited as Dividend Equivalents) shall be distributed to Participant, and any payments in respect of Dividend Equivalents shall be paid to Participant, no later than the later of: (A)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Participant’s first taxable year in which such RSUs and/or Dividend Equivalents, as applicable, are no longer subject to a substantial risk of forfeiture, and (B)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first taxable year of the Company in which such RSUs and/or Dividend Equivalents, as applicable, are no longer subject to substantial risk of forfeiture, as determined in accordance with Section 409A.</w:t>
      </w:r>
    </w:p>
    <w:p>
      <w:pPr>
        <w:spacing w:after="0" w:line="201" w:lineRule="exact"/>
        <w:rPr>
          <w:rFonts w:ascii="Times New Roman" w:cs="Times New Roman" w:eastAsia="Times New Roman" w:hAnsi="Times New Roman"/>
          <w:sz w:val="20"/>
          <w:szCs w:val="20"/>
          <w:color w:val="auto"/>
        </w:rPr>
      </w:pPr>
    </w:p>
    <w:p>
      <w:pPr>
        <w:ind w:firstLine="915"/>
        <w:spacing w:after="0" w:line="283" w:lineRule="auto"/>
        <w:tabs>
          <w:tab w:leader="none" w:pos="1386"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409A (including, without limitation, for purposes of Treasury Regulation Section 1.409A-2(b)(2) (iii)), each payment that Participant may be eligible to receive under this Agreement shall be treated as a separate and distinct payment.</w:t>
      </w:r>
    </w:p>
    <w:p>
      <w:pPr>
        <w:spacing w:after="0" w:line="1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provisions of the Plan and all Awards made thereunder, including the RSUs and the Dividend</w:t>
      </w:r>
    </w:p>
    <w:p>
      <w:pPr>
        <w:spacing w:after="0" w:line="221" w:lineRule="auto"/>
        <w:rPr>
          <w:sz w:val="20"/>
          <w:szCs w:val="20"/>
          <w:color w:val="auto"/>
        </w:rPr>
      </w:pPr>
      <w:r>
        <w:rPr>
          <w:rFonts w:ascii="Times New Roman" w:cs="Times New Roman" w:eastAsia="Times New Roman" w:hAnsi="Times New Roman"/>
          <w:sz w:val="20"/>
          <w:szCs w:val="20"/>
          <w:color w:val="auto"/>
        </w:rPr>
        <w:t>Equivalents, shall be governed by and interpreted in accordance with the laws of the State of Delaware, disregarding choice-of-law principles of the law of any state that would require the application of the laws of a jurisdiction other than such state.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provisions in this Agreement, the Award shall be subject to any additional terms and</w:t>
      </w:r>
    </w:p>
    <w:p>
      <w:pPr>
        <w:spacing w:after="0" w:line="204" w:lineRule="auto"/>
        <w:rPr>
          <w:sz w:val="20"/>
          <w:szCs w:val="20"/>
          <w:color w:val="auto"/>
        </w:rPr>
      </w:pPr>
      <w:r>
        <w:rPr>
          <w:rFonts w:ascii="Times New Roman" w:cs="Times New Roman" w:eastAsia="Times New Roman" w:hAnsi="Times New Roman"/>
          <w:sz w:val="20"/>
          <w:szCs w:val="20"/>
          <w:color w:val="auto"/>
        </w:rPr>
        <w:t>conditions for Participant’s country set forth in the Appendix attached hereto. Moreover, if Participant relocates to one of the countries included in the Appendix, the additional terms and conditions for such country, if any, will apply to Participant, to the extent the Company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determines that the application of such terms and conditions is necessary or advisable for legal or administrative reasons. The Appendix constitutes part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1240"/>
          </w:cols>
          <w:pgMar w:left="320" w:top="1399"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0"/>
          <w:szCs w:val="20"/>
          <w:b w:val="1"/>
          <w:bCs w:val="1"/>
          <w:color w:val="auto"/>
        </w:rPr>
        <w:t>APPENDIX TO THE PLAYTIKA HOLDING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PARTICIPANTS OUTSIDE OF THE UNITED STATES</w:t>
      </w:r>
    </w:p>
    <w:p>
      <w:pPr>
        <w:spacing w:after="0" w:line="247" w:lineRule="exact"/>
        <w:rPr>
          <w:sz w:val="20"/>
          <w:szCs w:val="20"/>
          <w:color w:val="auto"/>
        </w:rPr>
      </w:pPr>
    </w:p>
    <w:p>
      <w:pPr>
        <w:jc w:val="both"/>
        <w:ind w:firstLine="278"/>
        <w:spacing w:after="0" w:line="257" w:lineRule="auto"/>
        <w:rPr>
          <w:sz w:val="20"/>
          <w:szCs w:val="20"/>
          <w:color w:val="auto"/>
        </w:rPr>
      </w:pPr>
      <w:r>
        <w:rPr>
          <w:rFonts w:ascii="Times New Roman" w:cs="Times New Roman" w:eastAsia="Times New Roman" w:hAnsi="Times New Roman"/>
          <w:sz w:val="20"/>
          <w:szCs w:val="20"/>
          <w:color w:val="auto"/>
        </w:rPr>
        <w:t>This Appendix includes additional terms and conditions applicable to Participants who provide services to the Company Group in the countries identified below. These terms and conditions are in addition to those set forth in the Grant Notice and Agreement and to the extent there are any inconsistencies between these terms and conditions and those set forth in the Grant Notice or the Agreement, these terms and conditions shall prevail. Any capitalized term used in this Appendix without definition shall have the meaning ascribed to such term in the Plan, the Grant Notice or the Agreement, as applicable. This Appendix forms part of the Agreement.</w:t>
      </w:r>
    </w:p>
    <w:p>
      <w:pPr>
        <w:spacing w:after="0" w:line="173" w:lineRule="exact"/>
        <w:rPr>
          <w:sz w:val="20"/>
          <w:szCs w:val="20"/>
          <w:color w:val="auto"/>
        </w:rPr>
      </w:pPr>
    </w:p>
    <w:p>
      <w:pPr>
        <w:jc w:val="both"/>
        <w:ind w:firstLine="260"/>
        <w:spacing w:after="0" w:line="268" w:lineRule="auto"/>
        <w:rPr>
          <w:sz w:val="20"/>
          <w:szCs w:val="20"/>
          <w:color w:val="auto"/>
        </w:rPr>
      </w:pPr>
      <w:r>
        <w:rPr>
          <w:rFonts w:ascii="Times New Roman" w:cs="Times New Roman" w:eastAsia="Times New Roman" w:hAnsi="Times New Roman"/>
          <w:sz w:val="20"/>
          <w:szCs w:val="20"/>
          <w:color w:val="auto"/>
        </w:rPr>
        <w:t>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Company shall, in its discretion, determine to what extent the terms and conditions contained herein shall be applicable to Participant.</w:t>
      </w:r>
    </w:p>
    <w:p>
      <w:pPr>
        <w:spacing w:after="0" w:line="188" w:lineRule="exact"/>
        <w:rPr>
          <w:sz w:val="20"/>
          <w:szCs w:val="20"/>
          <w:color w:val="auto"/>
        </w:rPr>
      </w:pPr>
    </w:p>
    <w:p>
      <w:pPr>
        <w:jc w:val="both"/>
        <w:ind w:firstLine="254"/>
        <w:spacing w:after="0" w:line="251" w:lineRule="auto"/>
        <w:rPr>
          <w:sz w:val="20"/>
          <w:szCs w:val="20"/>
          <w:color w:val="auto"/>
        </w:rPr>
      </w:pPr>
      <w:r>
        <w:rPr>
          <w:rFonts w:ascii="Times New Roman" w:cs="Times New Roman" w:eastAsia="Times New Roman" w:hAnsi="Times New Roman"/>
          <w:sz w:val="20"/>
          <w:szCs w:val="20"/>
          <w:color w:val="auto"/>
        </w:rPr>
        <w:t>For Participant’s convenience and information, the Company has provided certain general information regarding some of the tax and/or exchange control requirements that may apply to Participant in certain of the countries identified below. The Company undertakes no obligation to update any such information and does not ensure that it is complete or correct. As a result, the Company strongly recommends that Participant not rely on the information in this Appendix as the only source of information relating to the consequences of Participant’s participation in the Plan because the information may be out of date at the time Participant acquires Shares or sells Shares acquired under the Plan. The absence of any information on tax or foreign exchange requirements for any particular country should not be regarded as an indication that no such requirements apply in that country. The laws, rules and regulations of any country regarding the holding of securities may be subject to frequent change.</w:t>
      </w:r>
    </w:p>
    <w:p>
      <w:pPr>
        <w:spacing w:after="0" w:line="191" w:lineRule="exact"/>
        <w:rPr>
          <w:sz w:val="20"/>
          <w:szCs w:val="20"/>
          <w:color w:val="auto"/>
        </w:rPr>
      </w:pPr>
    </w:p>
    <w:p>
      <w:pPr>
        <w:jc w:val="both"/>
        <w:ind w:firstLine="198"/>
        <w:spacing w:after="0" w:line="273" w:lineRule="auto"/>
        <w:rPr>
          <w:sz w:val="20"/>
          <w:szCs w:val="20"/>
          <w:color w:val="auto"/>
        </w:rPr>
      </w:pPr>
      <w:r>
        <w:rPr>
          <w:rFonts w:ascii="Times New Roman" w:cs="Times New Roman" w:eastAsia="Times New Roman" w:hAnsi="Times New Roman"/>
          <w:sz w:val="20"/>
          <w:szCs w:val="20"/>
          <w:b w:val="1"/>
          <w:bCs w:val="1"/>
          <w:color w:val="auto"/>
        </w:rPr>
        <w:t>Participant is advised to seek appropriate professional advice as to how the relevant exchange control and tax laws in Participant’s country may apply to Participant’s individual situation.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PROVISIONS</w:t>
      </w:r>
    </w:p>
    <w:p>
      <w:pPr>
        <w:spacing w:after="0" w:line="233" w:lineRule="exact"/>
        <w:rPr>
          <w:sz w:val="20"/>
          <w:szCs w:val="20"/>
          <w:color w:val="auto"/>
        </w:rPr>
      </w:pPr>
    </w:p>
    <w:p>
      <w:pPr>
        <w:jc w:val="both"/>
        <w:ind w:firstLine="656"/>
        <w:spacing w:after="0" w:line="250" w:lineRule="auto"/>
        <w:tabs>
          <w:tab w:leader="none" w:pos="129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For purposes of the Award, a Termination of Service will be deemed to have occurred as of the date Participant is no longer actively providing services to the Company Group (regardless of the reason for such Termination of Service and whether or not later found to be invalid or in breach of employment laws in the jurisdiction where Participant is employed or otherwise rendering services, or the terms of Participant’s employment or other service agreement, if any). Participant’s employment or service relationship will not be extended by any notice period (e.g., Participant’s period of service will not be extended by any contractual notice period or period of “garden leave” or similar period mandated under employment laws in the jurisdiction where Participant is employed or otherwise rendering services, or the terms of Participant’s employment or other service agreement, if any). Unless otherwise expressly provided in the Plan or determined by the Company, Participant’s right to vest in the Award, if any, will terminate as of the date of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US-DOCS\119456873.6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|US-DOCS\146391273.5||</w:t>
      </w:r>
    </w:p>
    <w:p>
      <w:pPr>
        <w:sectPr>
          <w:pgSz w:w="11900" w:h="16838" w:orient="portrait"/>
          <w:cols w:equalWidth="0" w:num="1">
            <w:col w:w="11240"/>
          </w:cols>
          <w:pgMar w:left="320" w:top="1409" w:right="339" w:bottom="1440" w:gutter="0" w:footer="0" w:header="0"/>
        </w:sectPr>
      </w:pPr>
    </w:p>
    <w:bookmarkStart w:id="211" w:name="page212"/>
    <w:bookmarkEnd w:id="211"/>
    <w:p>
      <w:pPr>
        <w:jc w:val="both"/>
        <w:spacing w:after="0" w:line="258" w:lineRule="auto"/>
        <w:rPr>
          <w:sz w:val="20"/>
          <w:szCs w:val="20"/>
          <w:color w:val="auto"/>
        </w:rPr>
      </w:pPr>
      <w:r>
        <w:rPr>
          <w:rFonts w:ascii="Times New Roman" w:cs="Times New Roman" w:eastAsia="Times New Roman" w:hAnsi="Times New Roman"/>
          <w:sz w:val="20"/>
          <w:szCs w:val="20"/>
          <w:color w:val="auto"/>
        </w:rPr>
        <w:t>Notwithstanding the forgoing, the Administrator shall have exclusive discretion to determine when a Termination of Service has occurred for purposes of the Award (including when Participant is no longer considered to be actively providing services while on a leave of absence). In the event of Participant’s leave of absence, vesting of the Award shall be governed by the Company’s leave of absence policies, as may be amended from time to time, and in accordance with Applicable Laws.</w:t>
      </w:r>
    </w:p>
    <w:p>
      <w:pPr>
        <w:spacing w:after="0" w:line="172"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Nature of Plan and Rights</w:t>
      </w:r>
      <w:r>
        <w:rPr>
          <w:rFonts w:ascii="Times New Roman" w:cs="Times New Roman" w:eastAsia="Times New Roman" w:hAnsi="Times New Roman"/>
          <w:sz w:val="20"/>
          <w:szCs w:val="20"/>
          <w:color w:val="auto"/>
        </w:rPr>
        <w:t>. In participating in the Plan, Participant acknowledges that:</w:t>
      </w:r>
    </w:p>
    <w:p>
      <w:pPr>
        <w:spacing w:after="0" w:line="22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employment and labor law purposes, the Award and any Shares issuable upon settlement of the Award are an extraordinary item that do not constitute wages of any kind for services of any kind rendered to the Company Group, and the award of rights is outside the scope of Participant’s employment or service contract, if any;</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employment and labor law purposes, the Award and any Shares issuable upon settlement of the Award are not part of normal or expected wages or salary for any purposes, including, but not limited to, calculation of any severance, resignation, termination, redundancy, dismissal, end of service payments or entitlements, notice of termination or indemnity, compensation or damages in lieu of such notice, bonuses, holiday pay, long-service awards, pension or retirement benefits or similar payments and in no event should be considered as compensation for, or relating in any way to, past services for the Company Group;</w:t>
      </w:r>
    </w:p>
    <w:p>
      <w:pPr>
        <w:spacing w:after="0" w:line="191"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and any Shares issuable upon settlement of the Award are not intended to be an integral component of compensation or to replace any pension rights or compensation;</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rights nor any provision of Plan or the policies adopted pursuant to the Plan confer upon any Participant any right with respect to service or employment or continuation of current service or employment and shall not be interpreted to form a service or employment contract or relationship with the Company Group;</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underlying Shares do not increase in value, the right may have no value;</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acquires Shares upon settlement of the Award, the value of the Shares acquired upon purchase may increase or decrease in value; and</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grant of the Award hereunder, no claim or entitlement to compensation or damages arises from termination of the Award, and no claim or entitlement to compensation or damages shall arise from forfeiture of the Award resulting from termination of Participant’s employment by the Company Group (for any reason whatsoever, whether with or without Cause, whether with or without prior notice, and whether or not in breach of local employment or labor laws) and Participant irrevocably releases the Company Group from any such claim that may arise; if, notwithstanding the foregoing, any such claim is found by a court of competent jurisdiction to have arisen, Participant shall be deemed irrevocably to have waived Participant’s entitlement to pursue such claim.</w:t>
      </w:r>
    </w:p>
    <w:p>
      <w:pPr>
        <w:spacing w:after="0" w:line="188" w:lineRule="exact"/>
        <w:rPr>
          <w:rFonts w:ascii="Times New Roman" w:cs="Times New Roman" w:eastAsia="Times New Roman" w:hAnsi="Times New Roman"/>
          <w:sz w:val="20"/>
          <w:szCs w:val="20"/>
          <w:color w:val="auto"/>
        </w:rPr>
      </w:pPr>
    </w:p>
    <w:p>
      <w:pPr>
        <w:ind w:right="20" w:firstLine="656"/>
        <w:spacing w:after="0" w:line="273" w:lineRule="auto"/>
        <w:tabs>
          <w:tab w:leader="none" w:pos="129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 Restrictions/Market Abuse Laws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Participant may be subject to insider trading restrictions and/or market abuse laws in applicable jurisdictions, including the United States and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A-2</w:t>
      </w:r>
    </w:p>
    <w:p>
      <w:pPr>
        <w:sectPr>
          <w:pgSz w:w="11900" w:h="16838" w:orient="portrait"/>
          <w:cols w:equalWidth="0" w:num="1">
            <w:col w:w="11240"/>
          </w:cols>
          <w:pgMar w:left="320" w:top="1413" w:right="339" w:bottom="1440" w:gutter="0" w:footer="0" w:header="0"/>
        </w:sectPr>
      </w:pPr>
    </w:p>
    <w:bookmarkStart w:id="212" w:name="page213"/>
    <w:bookmarkEnd w:id="212"/>
    <w:p>
      <w:pPr>
        <w:jc w:val="both"/>
        <w:spacing w:after="0" w:line="253" w:lineRule="auto"/>
        <w:rPr>
          <w:sz w:val="20"/>
          <w:szCs w:val="20"/>
          <w:color w:val="auto"/>
        </w:rPr>
      </w:pPr>
      <w:r>
        <w:rPr>
          <w:rFonts w:ascii="Times New Roman" w:cs="Times New Roman" w:eastAsia="Times New Roman" w:hAnsi="Times New Roman"/>
          <w:sz w:val="20"/>
          <w:szCs w:val="20"/>
          <w:color w:val="auto"/>
        </w:rPr>
        <w:t>Participant’s country, if different, which may affect Participant’s ability to directly or indirectly, for himself or herself or for a third party, acquire or sell, or attempt to sell, Shares during such times as such Participant is considered to have “inside information” regarding the Company (as defined by Applicable Laws) or the trade in Shares. Any restrictions under these laws or regulations may be separate and in addition to any restrictions that may be imposed under any applicable Company insider trading policy. It shall be each Participant’s responsibility to comply with any applicable restrictions, and each Participant should speak with a personal advisor on this matter.</w:t>
      </w:r>
    </w:p>
    <w:p>
      <w:pPr>
        <w:spacing w:after="0" w:line="188" w:lineRule="exact"/>
        <w:rPr>
          <w:sz w:val="20"/>
          <w:szCs w:val="20"/>
          <w:color w:val="auto"/>
        </w:rPr>
      </w:pPr>
    </w:p>
    <w:p>
      <w:pPr>
        <w:jc w:val="both"/>
        <w:ind w:firstLine="656"/>
        <w:spacing w:after="0" w:line="254"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Reporting; Exchange Controls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Each country may have certain foreign asset and/or account reporting requirements and/or exchange controls which may affect Participant’s ability to purchase or hold Shares or cash received in respect of the Award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his or her participation in the Plan to Participant’s country through a designated bank or broker and/or within a certain time after receipt. It shall be Participant’s responsibility to be compliant with such regulations, and Participant should consult a personal legal advisor for any details.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Representations With Respect to Tax Qualification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Although the Company may endeavor to (a) qualify the Award for favorable tax treatment under the laws of the United States or jurisdictions outside of the United States or (b) avoid adverse tax treatment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under Section 409A of the Code), the Company makes no representation to that effect and expressly disavows any covenant to maintain favorable or avoid unfavorable tax treatment, anything to the contrary in this Plan. The Company shall be unconstrained in its corporate activities without regard to the potential negative tax impact on Participants under the Plan.</w:t>
      </w:r>
    </w:p>
    <w:p>
      <w:pPr>
        <w:spacing w:after="0" w:line="17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Paperless Administration</w:t>
      </w:r>
      <w:r>
        <w:rPr>
          <w:rFonts w:ascii="Times New Roman" w:cs="Times New Roman" w:eastAsia="Times New Roman" w:hAnsi="Times New Roman"/>
          <w:sz w:val="20"/>
          <w:szCs w:val="20"/>
          <w:color w:val="auto"/>
        </w:rPr>
        <w:t>. By accepting this Award, Participant hereby agrees to receive documentation related to the Award by electronic delivery, such as a system using an internet website or interactive voice response, maintained by the Company or a third party designated by the Company.</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Participant acknowledges that Participant is proficient in the English language and understands the provisions in this Agreement and the Plan or has had the ability to consult with an advisor who is sufficiently proficient in the English language, as to allow Participant to understand the terms of this Agreement and any other documents related to the RSUs. Further,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9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Restrictions</w:t>
      </w:r>
      <w:r>
        <w:rPr>
          <w:rFonts w:ascii="Times New Roman" w:cs="Times New Roman" w:eastAsia="Times New Roman" w:hAnsi="Times New Roman"/>
          <w:sz w:val="20"/>
          <w:szCs w:val="20"/>
          <w:color w:val="auto"/>
        </w:rPr>
        <w:t>. The Company reserves the right to impose other requirements on the Award and the Shares issuable upon settlement of the Award,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EU Prospectus</w:t>
      </w:r>
      <w:r>
        <w:rPr>
          <w:rFonts w:ascii="Times New Roman" w:cs="Times New Roman" w:eastAsia="Times New Roman" w:hAnsi="Times New Roman"/>
          <w:sz w:val="20"/>
          <w:szCs w:val="20"/>
          <w:color w:val="auto"/>
        </w:rPr>
        <w:t>. This document does not constitute a prospectus within the meaning of Regulation (EU) 2017/1129 (“</w:t>
      </w:r>
      <w:r>
        <w:rPr>
          <w:rFonts w:ascii="Times New Roman" w:cs="Times New Roman" w:eastAsia="Times New Roman" w:hAnsi="Times New Roman"/>
          <w:sz w:val="20"/>
          <w:szCs w:val="20"/>
          <w:b w:val="1"/>
          <w:bCs w:val="1"/>
          <w:i w:val="1"/>
          <w:iCs w:val="1"/>
          <w:color w:val="auto"/>
        </w:rPr>
        <w:t>European Prospectus Regulation</w:t>
      </w:r>
      <w:r>
        <w:rPr>
          <w:rFonts w:ascii="Times New Roman" w:cs="Times New Roman" w:eastAsia="Times New Roman" w:hAnsi="Times New Roman"/>
          <w:sz w:val="20"/>
          <w:szCs w:val="20"/>
          <w:color w:val="auto"/>
        </w:rPr>
        <w:t>”). In participating in the Plan, Participant acknowledges that no prospectus will be published for the purpose of the offering, issuance and sale of the underlying Shares and any offering of the Shares is conducted by the Company in reliance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A-3</w:t>
      </w:r>
    </w:p>
    <w:p>
      <w:pPr>
        <w:sectPr>
          <w:pgSz w:w="11900" w:h="16838" w:orient="portrait"/>
          <w:cols w:equalWidth="0" w:num="1">
            <w:col w:w="11240"/>
          </w:cols>
          <w:pgMar w:left="320" w:top="1413" w:right="339" w:bottom="1440" w:gutter="0" w:footer="0" w:header="0"/>
        </w:sectPr>
      </w:pPr>
    </w:p>
    <w:bookmarkStart w:id="213" w:name="page214"/>
    <w:bookmarkEnd w:id="213"/>
    <w:p>
      <w:pPr>
        <w:jc w:val="both"/>
        <w:spacing w:after="0" w:line="261" w:lineRule="auto"/>
        <w:rPr>
          <w:sz w:val="20"/>
          <w:szCs w:val="20"/>
          <w:color w:val="auto"/>
        </w:rPr>
      </w:pPr>
      <w:r>
        <w:rPr>
          <w:rFonts w:ascii="Times New Roman" w:cs="Times New Roman" w:eastAsia="Times New Roman" w:hAnsi="Times New Roman"/>
          <w:sz w:val="20"/>
          <w:szCs w:val="20"/>
          <w:color w:val="auto"/>
        </w:rPr>
        <w:t>on an exemption from the obligation to publish a prospectus set forth in Article 1 of the Regulation (EU) 2017/1129 of the European Parliament and of the Council of 14 June 2017 on the prospectus to be published when securities are offered to the public or admitted to trading on a regulated market, and repealing Directive 2003/71/EC.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AUSTRALIA</w:t>
      </w:r>
    </w:p>
    <w:p>
      <w:pPr>
        <w:spacing w:after="0" w:line="216" w:lineRule="exact"/>
        <w:rPr>
          <w:sz w:val="20"/>
          <w:szCs w:val="20"/>
          <w:color w:val="auto"/>
        </w:rPr>
      </w:pPr>
    </w:p>
    <w:p>
      <w:pPr>
        <w:jc w:val="both"/>
        <w:ind w:firstLine="656"/>
        <w:spacing w:after="0" w:line="270" w:lineRule="auto"/>
        <w:tabs>
          <w:tab w:leader="none" w:pos="129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Australian Offer Document</w:t>
      </w:r>
      <w:r>
        <w:rPr>
          <w:rFonts w:ascii="Times New Roman" w:cs="Times New Roman" w:eastAsia="Times New Roman" w:hAnsi="Times New Roman"/>
          <w:sz w:val="20"/>
          <w:szCs w:val="20"/>
          <w:color w:val="auto"/>
        </w:rPr>
        <w:t xml:space="preserve">. This offer of RSUs under the Plan is made under Part 7.12 Division 1A of the </w:t>
      </w:r>
      <w:r>
        <w:rPr>
          <w:rFonts w:ascii="Times New Roman" w:cs="Times New Roman" w:eastAsia="Times New Roman" w:hAnsi="Times New Roman"/>
          <w:sz w:val="20"/>
          <w:szCs w:val="20"/>
          <w:i w:val="1"/>
          <w:iCs w:val="1"/>
          <w:color w:val="auto"/>
        </w:rPr>
        <w:t>Corporations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2001 </w:t>
      </w:r>
      <w:r>
        <w:rPr>
          <w:rFonts w:ascii="Times New Roman" w:cs="Times New Roman" w:eastAsia="Times New Roman" w:hAnsi="Times New Roman"/>
          <w:sz w:val="20"/>
          <w:szCs w:val="20"/>
          <w:color w:val="auto"/>
        </w:rPr>
        <w:t>(Cth). Additional details are set forth in the Offer Document for the offer of RSUs to Australian-resident employees attached hereto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AUD$10,000 and international fund transfers. The Australian bank assisting with the transaction will file the report. If there is no Australian bank involved in the transfer, Participant will be required to file the report.</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58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 The grant of RSUs does not provide any right for Participant to receive a cash payment, and settlement of the RSUs is payable only in Shares.</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29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Information</w:t>
      </w:r>
      <w:r>
        <w:rPr>
          <w:rFonts w:ascii="Times New Roman" w:cs="Times New Roman" w:eastAsia="Times New Roman" w:hAnsi="Times New Roman"/>
          <w:sz w:val="20"/>
          <w:szCs w:val="20"/>
          <w:color w:val="auto"/>
        </w:rPr>
        <w:t>. The Plan is a plan to which subdivision 83A-C of the Income Tax Assessment Act 1997 (Cth) applies (subject to conditions in the Act).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AUSTRIA</w:t>
      </w:r>
    </w:p>
    <w:p>
      <w:pPr>
        <w:spacing w:after="0" w:line="233" w:lineRule="exact"/>
        <w:rPr>
          <w:sz w:val="20"/>
          <w:szCs w:val="20"/>
          <w:color w:val="auto"/>
        </w:rPr>
      </w:pPr>
    </w:p>
    <w:p>
      <w:pPr>
        <w:jc w:val="both"/>
        <w:ind w:firstLine="240"/>
        <w:spacing w:after="0" w:line="250" w:lineRule="auto"/>
        <w:tabs>
          <w:tab w:leader="none" w:pos="61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Participant is an Austrian resident and Participant holds Shares acquired under the Plan outside of Austria, Participant must submit a report to the Austrian National Bank. An exemption applies if the value of the Shares as of any given quarter does not meet or exceed EUR 30,000,000 or if the value of the Shares in any given year as of December 31 does not meet or exceed EUR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 A separate reporting requirement applies when Participant sells Shares acquired under the Plan, receive a cash dividend paid on such Shares or Dividend Equivalents paid in cash. In that case, there may be exchange control obligations if the cash proceeds are held outside of Austria. If the transaction volume of all cash accounts abroad meets or exceeds EUR 10,000,000, the movements and balances of all accounts must be reported monthly, as of the last day of the month, on or before the 15th day of the following month, on the prescribed form (Meldungen SI-Forderungen und/oder SI-Verpflichtungen).</w:t>
      </w:r>
    </w:p>
    <w:p>
      <w:pPr>
        <w:spacing w:after="0" w:line="186" w:lineRule="exact"/>
        <w:rPr>
          <w:rFonts w:ascii="Times New Roman" w:cs="Times New Roman" w:eastAsia="Times New Roman" w:hAnsi="Times New Roman"/>
          <w:sz w:val="20"/>
          <w:szCs w:val="20"/>
          <w:color w:val="auto"/>
        </w:rPr>
      </w:pPr>
    </w:p>
    <w:p>
      <w:pPr>
        <w:ind w:firstLine="213"/>
        <w:spacing w:after="0" w:line="283" w:lineRule="auto"/>
        <w:tabs>
          <w:tab w:leader="none" w:pos="55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Information</w:t>
      </w:r>
      <w:r>
        <w:rPr>
          <w:rFonts w:ascii="Times New Roman" w:cs="Times New Roman" w:eastAsia="Times New Roman" w:hAnsi="Times New Roman"/>
          <w:sz w:val="20"/>
          <w:szCs w:val="20"/>
          <w:color w:val="auto"/>
        </w:rPr>
        <w:t>. The grant, vesting or settlement of the RSUs or the Dividend Equivalents, and the distribution of the Shares issuable with respect thereto, might have tax implications under Austrian tax laws. Please review the Plan prospectus for further details.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BELARUS</w:t>
      </w:r>
    </w:p>
    <w:p>
      <w:pPr>
        <w:spacing w:after="0" w:line="220" w:lineRule="exact"/>
        <w:rPr>
          <w:sz w:val="20"/>
          <w:szCs w:val="20"/>
          <w:color w:val="auto"/>
        </w:rPr>
      </w:pPr>
    </w:p>
    <w:p>
      <w:pPr>
        <w:jc w:val="both"/>
        <w:ind w:firstLine="656"/>
        <w:spacing w:after="0" w:line="310" w:lineRule="auto"/>
        <w:tabs>
          <w:tab w:leader="none" w:pos="153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Law</w:t>
      </w:r>
      <w:r>
        <w:rPr>
          <w:rFonts w:ascii="Times New Roman" w:cs="Times New Roman" w:eastAsia="Times New Roman" w:hAnsi="Times New Roman"/>
          <w:sz w:val="19"/>
          <w:szCs w:val="19"/>
          <w:color w:val="auto"/>
        </w:rPr>
        <w:t>. In the event Participant is residing in the Republic of Belarus, Participant shall at his or her own cost comply with any requirements of the laws and regulations of the Republic of Belarus (including but not limited to currency regulations).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A-4</w:t>
      </w:r>
    </w:p>
    <w:p>
      <w:pPr>
        <w:sectPr>
          <w:pgSz w:w="11900" w:h="16838" w:orient="portrait"/>
          <w:cols w:equalWidth="0" w:num="1">
            <w:col w:w="11240"/>
          </w:cols>
          <w:pgMar w:left="320" w:top="1413" w:right="339" w:bottom="1440" w:gutter="0" w:footer="0" w:header="0"/>
        </w:sectPr>
      </w:pPr>
    </w:p>
    <w:bookmarkStart w:id="214" w:name="page215"/>
    <w:bookmarkEnd w:id="214"/>
    <w:p>
      <w:pPr>
        <w:spacing w:after="0" w:line="68" w:lineRule="exact"/>
        <w:rPr>
          <w:sz w:val="20"/>
          <w:szCs w:val="20"/>
          <w:color w:val="auto"/>
        </w:rPr>
      </w:pPr>
    </w:p>
    <w:p>
      <w:pPr>
        <w:jc w:val="both"/>
        <w:ind w:firstLine="656"/>
        <w:spacing w:after="0" w:line="254" w:lineRule="auto"/>
        <w:tabs>
          <w:tab w:leader="none" w:pos="1561"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Obligations</w:t>
      </w:r>
      <w:r>
        <w:rPr>
          <w:rFonts w:ascii="Times New Roman" w:cs="Times New Roman" w:eastAsia="Times New Roman" w:hAnsi="Times New Roman"/>
          <w:sz w:val="20"/>
          <w:szCs w:val="20"/>
          <w:color w:val="auto"/>
        </w:rPr>
        <w:t>. If Participant is a tax resident of the Republic of Belarus, nothing in the Agreement shall require the Company (and/or the Employer or any Related Entity) to fulfill any obligations, including but not limited to the withholding, reporting and payment obligations in the Republic of Belarus, related to taxation of Participant in the Republic of Belarus, which shall be handled by Participant.</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Shares and the RSUs will not be listed in Belarus and accounted for in the depositary system of Belarus. Shares, the RSUs, this Agreement and the Plan will not be subject to securities regulations in Belarus directly. The RSUs and the issuance of any Shares thereunder are not intended to be publicly offered in or from the Republic of Belarus. Neither this Agreement nor any other materials relating to the RSUs (a) constitute a prospectus as such term is understood pursuant to the Law of the Republic of Belarus “On the securities market”, (b) may be publicly distributed nor otherwise made publicly available in the Republic of Belarus, or (c) have been or will be filed with, approved or supervised by any Belarusian regulatory authority.</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 Consent</w:t>
      </w:r>
      <w:r>
        <w:rPr>
          <w:rFonts w:ascii="Times New Roman" w:cs="Times New Roman" w:eastAsia="Times New Roman" w:hAnsi="Times New Roman"/>
          <w:sz w:val="20"/>
          <w:szCs w:val="20"/>
          <w:color w:val="auto"/>
        </w:rPr>
        <w:t>. By participating in the Plan, participant acknowledges that he or she is proficient in reading and understanding English and fully understands the terms of the documents related to the grant, including the Plan and this Agreement, which were provided in the English language. Participant accepts the terms of those documents accordingly.</w:t>
      </w:r>
    </w:p>
    <w:p>
      <w:pPr>
        <w:spacing w:after="0" w:line="164" w:lineRule="exact"/>
        <w:rPr>
          <w:sz w:val="20"/>
          <w:szCs w:val="20"/>
          <w:color w:val="auto"/>
        </w:rPr>
      </w:pPr>
    </w:p>
    <w:p>
      <w:pPr>
        <w:jc w:val="both"/>
        <w:ind w:left="660" w:right="20" w:firstLine="486"/>
        <w:spacing w:after="0" w:line="260" w:lineRule="auto"/>
        <w:rPr>
          <w:sz w:val="20"/>
          <w:szCs w:val="20"/>
          <w:color w:val="auto"/>
        </w:rPr>
      </w:pPr>
      <w:r>
        <w:rPr>
          <w:rFonts w:ascii="Times New Roman" w:cs="Times New Roman" w:eastAsia="Times New Roman" w:hAnsi="Times New Roman"/>
          <w:sz w:val="20"/>
          <w:szCs w:val="20"/>
          <w:i w:val="1"/>
          <w:iCs w:val="1"/>
          <w:u w:val="single" w:color="auto"/>
          <w:color w:val="auto"/>
        </w:rPr>
        <w:t>Языковое согласие.</w:t>
      </w:r>
      <w:r>
        <w:rPr>
          <w:rFonts w:ascii="Times New Roman" w:cs="Times New Roman" w:eastAsia="Times New Roman" w:hAnsi="Times New Roman"/>
          <w:sz w:val="20"/>
          <w:szCs w:val="20"/>
          <w:i w:val="1"/>
          <w:iCs w:val="1"/>
          <w:color w:val="auto"/>
        </w:rPr>
        <w:t xml:space="preserve"> Участвуя в Плане, участник подтверждает, что он или она имеет достаточный уровень знания, чтения и понимания английского языка, прочитал(-а) и подтверждает, что он или она полностью понимает условия всех документов о присуждении вознаграждения, включая План и настоящий Договор, которые были предоставлены на английском языке. Участник соответственно принимает условия этих документов.</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CANADA</w:t>
      </w:r>
    </w:p>
    <w:p>
      <w:pPr>
        <w:spacing w:after="0" w:line="220"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The following provision replaces Section 1 of this Appendix:</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For purposes of the Award and any related rights or entitlements, Participant’s Termination of Service is deemed to occur (regardless of the reason for the termination, whether with or without Cause, whether with or without prior notice, and whether or not later found to be invalid or in breach of Applicable Laws in the jurisdiction where Participant is employed or otherwise rendering services or the terms of Participant’s employment or service agreement, if any) on the date that is the earliest of (a) the effective termination date of Participant’s employment or service agreement, or (b) the date Participant is no longer actively employed by or actively providing services to the Company or any of its Related Entities following Participant’s receipt of a notice of termination of employment or service agreement, or Participant’s delivery of a notice of resignation or termination of service agreement to the Company or any of its Related Entities, in any such case regardless of (and without including) any notice of termination or resignation period or any period of pay, indemnity, compensation or damages in lieu of such notice mandated under Applicable Laws (including, but not limited to, statutory law, regulatory law, civil law and/or common law) in the jurisdiction where Participant is employed or otherwise rendering services or the terms of Participant’s employment or other service agreement, if any. For greater certainty, for purposes of this Award and any related rights or entitlements, Participant will not be considered to be employed by or providing services to the Company or any of its Related Entities, whether actively or otherwise, and shall not be entitled to further vesting of the Award, or any indemnity, compensation or damages in lieu thereof, in respect of any notice of termination period required or 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A-5</w:t>
      </w:r>
    </w:p>
    <w:p>
      <w:pPr>
        <w:sectPr>
          <w:pgSz w:w="11900" w:h="16838" w:orient="portrait"/>
          <w:cols w:equalWidth="0" w:num="1">
            <w:col w:w="11240"/>
          </w:cols>
          <w:pgMar w:left="320" w:top="1440" w:right="339" w:bottom="1440" w:gutter="0" w:footer="0" w:header="0"/>
        </w:sectPr>
      </w:pPr>
    </w:p>
    <w:bookmarkStart w:id="215" w:name="page216"/>
    <w:bookmarkEnd w:id="215"/>
    <w:p>
      <w:pPr>
        <w:jc w:val="both"/>
        <w:spacing w:after="0" w:line="261" w:lineRule="auto"/>
        <w:rPr>
          <w:sz w:val="20"/>
          <w:szCs w:val="20"/>
          <w:color w:val="auto"/>
        </w:rPr>
      </w:pPr>
      <w:r>
        <w:rPr>
          <w:rFonts w:ascii="Times New Roman" w:cs="Times New Roman" w:eastAsia="Times New Roman" w:hAnsi="Times New Roman"/>
          <w:sz w:val="20"/>
          <w:szCs w:val="20"/>
          <w:color w:val="auto"/>
        </w:rPr>
        <w:t>retroactive period during which Participant is deemed to be in the employ or service of the Company or any of its Related Entities, whether pursuant to Applicable Laws in the jurisdiction where Participant is employed or rendering services or pursuant to a decision of a court or tribunal of competent jurisdiction.</w:t>
      </w:r>
    </w:p>
    <w:p>
      <w:pPr>
        <w:spacing w:after="0" w:line="18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Notwithstanding the foregoing, if applicable employment standards legislation explicitly requires continued participation in the Plan during a minimum statutory notice period, Participant acknowledges that his or her right to participate in the Plan, if any, will terminate effective as of the last day of Participant’s minimum statutory notice period, but Participant will not earn or be entitled to pro-rata vesting if the vesting date falls after the end of Participant’s statutory notice period, nor will Participant be entitled to any compensation for lost vesting.</w:t>
      </w:r>
    </w:p>
    <w:p>
      <w:pPr>
        <w:spacing w:after="0" w:line="156" w:lineRule="exact"/>
        <w:rPr>
          <w:sz w:val="20"/>
          <w:szCs w:val="20"/>
          <w:color w:val="auto"/>
        </w:rPr>
      </w:pPr>
    </w:p>
    <w:p>
      <w:pPr>
        <w:ind w:right="20" w:firstLine="656"/>
        <w:spacing w:after="0" w:line="283" w:lineRule="auto"/>
        <w:tabs>
          <w:tab w:leader="none" w:pos="129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 The grant of RSUs does not provide any right for Participant to receive a cash payment, and settlement of the RSUs is payable only in Shares.</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following provisions will apply if Participant is a resident of Quebec. The parties acknowledge that it is their express wish that the Agreement, as well as all documents, notices and written communications relating directly or indirectly hereto be drawn up in English.</w:t>
      </w:r>
    </w:p>
    <w:p>
      <w:pPr>
        <w:spacing w:after="0" w:line="157" w:lineRule="exact"/>
        <w:rPr>
          <w:sz w:val="20"/>
          <w:szCs w:val="20"/>
          <w:color w:val="auto"/>
        </w:rPr>
      </w:pPr>
    </w:p>
    <w:p>
      <w:pPr>
        <w:ind w:left="660" w:right="660"/>
        <w:spacing w:after="0" w:line="287" w:lineRule="auto"/>
        <w:rPr>
          <w:sz w:val="20"/>
          <w:szCs w:val="20"/>
          <w:color w:val="auto"/>
        </w:rPr>
      </w:pPr>
      <w:r>
        <w:rPr>
          <w:rFonts w:ascii="Times New Roman" w:cs="Times New Roman" w:eastAsia="Times New Roman" w:hAnsi="Times New Roman"/>
          <w:sz w:val="20"/>
          <w:szCs w:val="20"/>
          <w:i w:val="1"/>
          <w:iCs w:val="1"/>
          <w:u w:val="single" w:color="auto"/>
          <w:color w:val="auto"/>
        </w:rPr>
        <w:t>Langue</w:t>
      </w:r>
      <w:r>
        <w:rPr>
          <w:rFonts w:ascii="Times New Roman" w:cs="Times New Roman" w:eastAsia="Times New Roman" w:hAnsi="Times New Roman"/>
          <w:sz w:val="20"/>
          <w:szCs w:val="20"/>
          <w:i w:val="1"/>
          <w:iCs w:val="1"/>
          <w:color w:val="auto"/>
        </w:rPr>
        <w:t>: Les parties reconnaissent avoir exigé la rédaction en anglais de cette convention, ainsi que de tous documents, avis et communications écrites s’y rattachant, directement ou indirectement.</w:t>
      </w:r>
    </w:p>
    <w:p>
      <w:pPr>
        <w:spacing w:after="0" w:line="142" w:lineRule="exact"/>
        <w:rPr>
          <w:sz w:val="20"/>
          <w:szCs w:val="20"/>
          <w:color w:val="auto"/>
        </w:rPr>
      </w:pPr>
    </w:p>
    <w:p>
      <w:pPr>
        <w:jc w:val="both"/>
        <w:ind w:firstLine="656"/>
        <w:spacing w:after="0" w:line="268" w:lineRule="auto"/>
        <w:tabs>
          <w:tab w:leader="none" w:pos="129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Canadian residents are permitted to sell shares of Common Stock acquired under the Plan through the designated broker appointed under the Plan, if any, provided the sale of such shares acquired under the Plan takes place outside Canada through the Nasdaq stock exchange on which the shares of Common Stock are listed.</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provisions, the Company designates that any stock issued under the RSUs granted herein is a “non-qualifying security” pursuant to subsection 110(1.4) of the Income Tax Act (Canada).</w:t>
      </w:r>
    </w:p>
    <w:p>
      <w:pPr>
        <w:spacing w:after="0" w:line="146"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Canadian taxpayers are required to report any foreign specified property, including Shares acquired under the Plan and rights to receive Shares (e.g., RSUs) on Form T1135 (Foreign Income Verification Statement) if the total cost of the foreign specified property exceeds C$100,000 at any time during the year. RSUs must be reported (generally, at nil cost) if the C$100,000 cost threshold is exceeded because of other foreign specified property held by Participant. For Shares acquired under the Plan, cost generally is the adjusted cost basis (“</w:t>
      </w:r>
      <w:r>
        <w:rPr>
          <w:rFonts w:ascii="Times New Roman" w:cs="Times New Roman" w:eastAsia="Times New Roman" w:hAnsi="Times New Roman"/>
          <w:sz w:val="20"/>
          <w:szCs w:val="20"/>
          <w:b w:val="1"/>
          <w:bCs w:val="1"/>
          <w:i w:val="1"/>
          <w:iCs w:val="1"/>
          <w:color w:val="auto"/>
        </w:rPr>
        <w:t>ACB</w:t>
      </w:r>
      <w:r>
        <w:rPr>
          <w:rFonts w:ascii="Times New Roman" w:cs="Times New Roman" w:eastAsia="Times New Roman" w:hAnsi="Times New Roman"/>
          <w:sz w:val="20"/>
          <w:szCs w:val="20"/>
          <w:color w:val="auto"/>
        </w:rPr>
        <w:t>”), which would ordinarily be equal the fair market value of such shares at the time of acquisition. If, however, Participant owns other Shares in the Company, the ACB of the Shares acquired under the Plan will need to be averaged with the ACB of the other Shares. The statement is due at the same time as Participant’s annual tax return. Participant should consult his or her personal tax advisor to ensure compliance with applicable reporting obligations.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FINLAND</w:t>
      </w:r>
    </w:p>
    <w:p>
      <w:pPr>
        <w:spacing w:after="0" w:line="233" w:lineRule="exact"/>
        <w:rPr>
          <w:sz w:val="20"/>
          <w:szCs w:val="20"/>
          <w:color w:val="auto"/>
        </w:rPr>
      </w:pPr>
    </w:p>
    <w:p>
      <w:pPr>
        <w:jc w:val="both"/>
        <w:ind w:firstLine="206"/>
        <w:spacing w:after="0" w:line="254" w:lineRule="auto"/>
        <w:tabs>
          <w:tab w:leader="none" w:pos="5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Regarding Potential Social Contributions</w:t>
      </w:r>
      <w:r>
        <w:rPr>
          <w:rFonts w:ascii="Times New Roman" w:cs="Times New Roman" w:eastAsia="Times New Roman" w:hAnsi="Times New Roman"/>
          <w:sz w:val="20"/>
          <w:szCs w:val="20"/>
          <w:color w:val="auto"/>
        </w:rPr>
        <w:t>. The benefit from the RSUs is not subject social contributions except for Participant’s health care contribution (1.45% in 2025) payable by Participant in connection with income taxes. Should any Shares be issued within 12 months of Participant’s execution of this Agreement, such difference would be subject to ordinary salary social contributions at the level of approximately 30% (including Participant’s part and the Employer’s part). 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A-6</w:t>
      </w:r>
    </w:p>
    <w:p>
      <w:pPr>
        <w:sectPr>
          <w:pgSz w:w="11900" w:h="16838" w:orient="portrait"/>
          <w:cols w:equalWidth="0" w:num="1">
            <w:col w:w="11240"/>
          </w:cols>
          <w:pgMar w:left="320" w:top="1413" w:right="339" w:bottom="1440" w:gutter="0" w:footer="0" w:header="0"/>
        </w:sectPr>
      </w:pPr>
    </w:p>
    <w:bookmarkStart w:id="216" w:name="page217"/>
    <w:bookmarkEnd w:id="216"/>
    <w:p>
      <w:pPr>
        <w:jc w:val="both"/>
        <w:spacing w:after="0" w:line="261" w:lineRule="auto"/>
        <w:rPr>
          <w:sz w:val="20"/>
          <w:szCs w:val="20"/>
          <w:color w:val="auto"/>
        </w:rPr>
      </w:pPr>
      <w:r>
        <w:rPr>
          <w:rFonts w:ascii="Times New Roman" w:cs="Times New Roman" w:eastAsia="Times New Roman" w:hAnsi="Times New Roman"/>
          <w:sz w:val="20"/>
          <w:szCs w:val="20"/>
          <w:color w:val="auto"/>
        </w:rPr>
        <w:t>order to avoid the imposition of these social contribution requirements on the RSUs, Participant will be required to execute this Agreement on or prior to the date that is one month after the Grant Date set forth in the Grant Notice (the “</w:t>
      </w:r>
      <w:r>
        <w:rPr>
          <w:rFonts w:ascii="Times New Roman" w:cs="Times New Roman" w:eastAsia="Times New Roman" w:hAnsi="Times New Roman"/>
          <w:sz w:val="20"/>
          <w:szCs w:val="20"/>
          <w:b w:val="1"/>
          <w:bCs w:val="1"/>
          <w:i w:val="1"/>
          <w:iCs w:val="1"/>
          <w:color w:val="auto"/>
        </w:rPr>
        <w:t>Execution Date</w:t>
      </w:r>
      <w:r>
        <w:rPr>
          <w:rFonts w:ascii="Times New Roman" w:cs="Times New Roman" w:eastAsia="Times New Roman" w:hAnsi="Times New Roman"/>
          <w:sz w:val="20"/>
          <w:szCs w:val="20"/>
          <w:color w:val="auto"/>
        </w:rPr>
        <w:t>”), and the RSUs will not vest and no Shares will be issued to Participant prior to the one-year anniversary of the Execution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FRANCE</w:t>
      </w:r>
    </w:p>
    <w:p>
      <w:pPr>
        <w:spacing w:after="0" w:line="220" w:lineRule="exact"/>
        <w:rPr>
          <w:sz w:val="20"/>
          <w:szCs w:val="20"/>
          <w:color w:val="auto"/>
        </w:rPr>
      </w:pPr>
    </w:p>
    <w:p>
      <w:pPr>
        <w:jc w:val="both"/>
        <w:ind w:firstLine="656"/>
        <w:spacing w:after="0" w:line="268" w:lineRule="auto"/>
        <w:tabs>
          <w:tab w:leader="none" w:pos="12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Receive Information in English</w:t>
      </w:r>
      <w:r>
        <w:rPr>
          <w:rFonts w:ascii="Times New Roman" w:cs="Times New Roman" w:eastAsia="Times New Roman" w:hAnsi="Times New Roman"/>
          <w:sz w:val="20"/>
          <w:szCs w:val="20"/>
          <w:color w:val="auto"/>
        </w:rPr>
        <w:t>. By accepting the grant of the RSUs, Participant confirms having read and understood the Plan and Agreement, which were provided in the English language. Participant accepts the terms of those documents accordingly.</w:t>
      </w:r>
    </w:p>
    <w:p>
      <w:pPr>
        <w:spacing w:after="0" w:line="157" w:lineRule="exact"/>
        <w:rPr>
          <w:sz w:val="20"/>
          <w:szCs w:val="20"/>
          <w:color w:val="auto"/>
        </w:rPr>
      </w:pPr>
    </w:p>
    <w:p>
      <w:pPr>
        <w:ind w:left="660"/>
        <w:spacing w:after="0" w:line="287" w:lineRule="auto"/>
        <w:rPr>
          <w:sz w:val="20"/>
          <w:szCs w:val="20"/>
          <w:color w:val="auto"/>
        </w:rPr>
      </w:pPr>
      <w:r>
        <w:rPr>
          <w:rFonts w:ascii="Times New Roman" w:cs="Times New Roman" w:eastAsia="Times New Roman" w:hAnsi="Times New Roman"/>
          <w:sz w:val="20"/>
          <w:szCs w:val="20"/>
          <w:i w:val="1"/>
          <w:iCs w:val="1"/>
          <w:color w:val="auto"/>
        </w:rPr>
        <w:t>En acceptant cette attribution gratuite d’actions, vous confirmez avoir lu et compris le Plan et ce Contrat, incluant tous leurs termes et conditions, qui ont été transmis en langue anglaise. Vous acceptez les termes de ces documents en connaissance de cause</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firstLine="656"/>
        <w:spacing w:after="0" w:line="258" w:lineRule="auto"/>
        <w:tabs>
          <w:tab w:leader="none" w:pos="129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w:t>
      </w:r>
      <w:r>
        <w:rPr>
          <w:rFonts w:ascii="Times New Roman" w:cs="Times New Roman" w:eastAsia="Times New Roman" w:hAnsi="Times New Roman"/>
          <w:sz w:val="20"/>
          <w:szCs w:val="20"/>
          <w:color w:val="auto"/>
        </w:rPr>
        <w:t>. Reporting Information. If Participant maintains a foreign bank or brokerage account in which Participant holds cash or securities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Participant must report such accounts, including any accounts that were closed during the tax year, to the French tax authorities when filing Participant’s annual tax return. Failure to comply could trigger significant penalties.</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Tax Provisions</w:t>
      </w:r>
      <w:r>
        <w:rPr>
          <w:rFonts w:ascii="Times New Roman" w:cs="Times New Roman" w:eastAsia="Times New Roman" w:hAnsi="Times New Roman"/>
          <w:sz w:val="20"/>
          <w:szCs w:val="20"/>
          <w:color w:val="auto"/>
        </w:rPr>
        <w:t xml:space="preserve">. The RSUs are not intended to qualify for the French tax and social security treatment applicable to free shares granted under Articles L. 225-197-1 to L. 225-197-5 and L. 22-10-59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of the French Commercial Code (</w:t>
      </w:r>
      <w:r>
        <w:rPr>
          <w:rFonts w:ascii="Times New Roman" w:cs="Times New Roman" w:eastAsia="Times New Roman" w:hAnsi="Times New Roman"/>
          <w:sz w:val="20"/>
          <w:szCs w:val="20"/>
          <w:i w:val="1"/>
          <w:iCs w:val="1"/>
          <w:color w:val="auto"/>
        </w:rPr>
        <w:t>Code 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Commerce</w:t>
      </w:r>
      <w:r>
        <w:rPr>
          <w:rFonts w:ascii="Times New Roman" w:cs="Times New Roman" w:eastAsia="Times New Roman" w:hAnsi="Times New Roman"/>
          <w:sz w:val="20"/>
          <w:szCs w:val="20"/>
          <w:color w:val="auto"/>
        </w:rPr>
        <w:t>), as amended.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247" w:lineRule="exact"/>
        <w:rPr>
          <w:sz w:val="20"/>
          <w:szCs w:val="20"/>
          <w:color w:val="auto"/>
        </w:rPr>
      </w:pPr>
    </w:p>
    <w:p>
      <w:pPr>
        <w:jc w:val="both"/>
        <w:ind w:firstLine="260"/>
        <w:spacing w:after="0" w:line="258" w:lineRule="auto"/>
        <w:tabs>
          <w:tab w:leader="none" w:pos="65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Cross-border payments in excess of EUR 12,500 must be reported monthly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In the event Participant makes or receives a payment in excess of this amount, he or she must report the payment to Bundesbank electronically using the “General Statistics Reporting Portal” (“</w:t>
      </w:r>
      <w:r>
        <w:rPr>
          <w:rFonts w:ascii="Times New Roman" w:cs="Times New Roman" w:eastAsia="Times New Roman" w:hAnsi="Times New Roman"/>
          <w:sz w:val="20"/>
          <w:szCs w:val="20"/>
          <w:i w:val="1"/>
          <w:iCs w:val="1"/>
          <w:color w:val="auto"/>
        </w:rPr>
        <w:t>Allgemeines Meldeportal Statistik</w:t>
      </w:r>
      <w:r>
        <w:rPr>
          <w:rFonts w:ascii="Times New Roman" w:cs="Times New Roman" w:eastAsia="Times New Roman" w:hAnsi="Times New Roman"/>
          <w:sz w:val="20"/>
          <w:szCs w:val="20"/>
          <w:color w:val="auto"/>
        </w:rPr>
        <w:t>”) available via Bundesbank’s website (www.bundesbank.de).</w:t>
      </w:r>
    </w:p>
    <w:p>
      <w:pPr>
        <w:spacing w:after="0" w:line="172" w:lineRule="exact"/>
        <w:rPr>
          <w:rFonts w:ascii="Times New Roman" w:cs="Times New Roman" w:eastAsia="Times New Roman" w:hAnsi="Times New Roman"/>
          <w:sz w:val="20"/>
          <w:szCs w:val="20"/>
          <w:color w:val="auto"/>
        </w:rPr>
      </w:pPr>
    </w:p>
    <w:p>
      <w:pPr>
        <w:jc w:val="both"/>
        <w:ind w:firstLine="287"/>
        <w:spacing w:after="0" w:line="257" w:lineRule="auto"/>
        <w:tabs>
          <w:tab w:leader="none" w:pos="720" w:val="left"/>
        </w:tabs>
        <w:numPr>
          <w:ilvl w:val="2"/>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If Participant’s acquisition of Shares acquired under the Plan leads to a so-called qualified participation at any point during the calendar year, Participant may need to report the acquisition when Participant files his or her tax return for the relevant year. A qualified participation is attained if (a) the value of the Shares acquired exceeds €150,000 or (b) in the unlikely event Participant holds Shares exceeding 10% of the Company’s total Shares. However, if the Shares are listed on a recognized U.S. stock exchange and Participant owns less than 1% of the Company, this requirement will not apply to Participant.</w:t>
      </w:r>
    </w:p>
    <w:p>
      <w:pPr>
        <w:spacing w:after="0" w:line="172" w:lineRule="exact"/>
        <w:rPr>
          <w:rFonts w:ascii="Times New Roman" w:cs="Times New Roman" w:eastAsia="Times New Roman" w:hAnsi="Times New Roman"/>
          <w:sz w:val="20"/>
          <w:szCs w:val="20"/>
          <w:color w:val="auto"/>
        </w:rPr>
      </w:pPr>
    </w:p>
    <w:p>
      <w:pPr>
        <w:jc w:val="both"/>
        <w:ind w:firstLine="213"/>
        <w:spacing w:after="0" w:line="253" w:lineRule="auto"/>
        <w:tabs>
          <w:tab w:leader="none" w:pos="55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Tax Provisions</w:t>
      </w:r>
      <w:r>
        <w:rPr>
          <w:rFonts w:ascii="Times New Roman" w:cs="Times New Roman" w:eastAsia="Times New Roman" w:hAnsi="Times New Roman"/>
          <w:sz w:val="20"/>
          <w:szCs w:val="20"/>
          <w:color w:val="auto"/>
        </w:rPr>
        <w:t>. Each Participant who is either (a) resident for tax purposes in Germany or (b) otherwise subject to German income tax and/or social security contributions in respect of earnings received from the Company Group shall be obliged to notify their Employer of the grant, vesting or payment of RSUs or Dividend Equivalents. Participant understands that they may suffer adverse tax consequences as a result of the RSUs or Dividend Equivalents. Neither the Company nor the Employer or any Related Entity makes any representation or undertaking regarding the treatment of any tax withholding in connection with the grant, vesting or payment of the RSUs or Dividend Equivalents. The Company Group does not commit and is under no obligation to structure the Plan to reduce or eliminate Participant’s tax liability. Participant represents that he or she has had the opportunity to consult with 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A-7</w:t>
      </w:r>
    </w:p>
    <w:p>
      <w:pPr>
        <w:sectPr>
          <w:pgSz w:w="11900" w:h="16838" w:orient="portrait"/>
          <w:cols w:equalWidth="0" w:num="1">
            <w:col w:w="11240"/>
          </w:cols>
          <w:pgMar w:left="320" w:top="1413" w:right="339" w:bottom="1440" w:gutter="0" w:footer="0" w:header="0"/>
        </w:sectPr>
      </w:pPr>
    </w:p>
    <w:bookmarkStart w:id="217" w:name="page218"/>
    <w:bookmarkEnd w:id="217"/>
    <w:p>
      <w:pPr>
        <w:jc w:val="both"/>
        <w:spacing w:after="0" w:line="261" w:lineRule="auto"/>
        <w:rPr>
          <w:sz w:val="20"/>
          <w:szCs w:val="20"/>
          <w:color w:val="auto"/>
        </w:rPr>
      </w:pPr>
      <w:r>
        <w:rPr>
          <w:rFonts w:ascii="Times New Roman" w:cs="Times New Roman" w:eastAsia="Times New Roman" w:hAnsi="Times New Roman"/>
          <w:sz w:val="20"/>
          <w:szCs w:val="20"/>
          <w:color w:val="auto"/>
        </w:rPr>
        <w:t>tax consultants he or she deems advisable in connection with the Plan and that he or she is not relying on the Company or the Employer for any tax advice. Participant is relying solely on such advisors and not on any statements or representations of the Company, the Employer or any of their agents.</w:t>
      </w:r>
    </w:p>
    <w:p>
      <w:pPr>
        <w:spacing w:after="0" w:line="181" w:lineRule="exact"/>
        <w:rPr>
          <w:sz w:val="20"/>
          <w:szCs w:val="20"/>
          <w:color w:val="auto"/>
        </w:rPr>
      </w:pPr>
    </w:p>
    <w:p>
      <w:pPr>
        <w:ind w:left="660"/>
        <w:spacing w:after="0"/>
        <w:tabs>
          <w:tab w:leader="none" w:pos="1280" w:val="left"/>
          <w:tab w:leader="none" w:pos="1620" w:val="left"/>
        </w:tabs>
        <w:rPr>
          <w:sz w:val="20"/>
          <w:szCs w:val="20"/>
          <w:color w:val="auto"/>
        </w:rPr>
      </w:pPr>
      <w:r>
        <w:rPr>
          <w:rFonts w:ascii="Times New Roman" w:cs="Times New Roman" w:eastAsia="Times New Roman" w:hAnsi="Times New Roman"/>
          <w:sz w:val="20"/>
          <w:szCs w:val="20"/>
          <w:u w:val="single" w:color="auto"/>
          <w:color w:val="auto"/>
        </w:rPr>
        <w:t>5.17</w:t>
      </w:r>
      <w:r>
        <w:rPr>
          <w:sz w:val="20"/>
          <w:szCs w:val="20"/>
          <w:color w:val="auto"/>
        </w:rPr>
        <w:tab/>
      </w: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u w:val="single" w:color="auto"/>
          <w:color w:val="auto"/>
        </w:rPr>
        <w:t>Acknowledgment of Nature of Plan and Awards</w:t>
      </w:r>
      <w:r>
        <w:rPr>
          <w:rFonts w:ascii="Times New Roman" w:cs="Times New Roman" w:eastAsia="Times New Roman" w:hAnsi="Times New Roman"/>
          <w:sz w:val="19"/>
          <w:szCs w:val="19"/>
          <w:color w:val="auto"/>
        </w:rPr>
        <w:t>. Any person entitled under the Plan acknowledges that:</w:t>
      </w:r>
    </w:p>
    <w:p>
      <w:pPr>
        <w:spacing w:after="0" w:line="216" w:lineRule="exact"/>
        <w:rPr>
          <w:sz w:val="20"/>
          <w:szCs w:val="20"/>
          <w:color w:val="auto"/>
        </w:rPr>
      </w:pPr>
    </w:p>
    <w:p>
      <w:pPr>
        <w:jc w:val="both"/>
        <w:ind w:firstLine="1304"/>
        <w:spacing w:after="0" w:line="268" w:lineRule="auto"/>
        <w:tabs>
          <w:tab w:leader="none" w:pos="215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labor law purposes, an Award granted under the Plan is an extraordinary item that does not constitute wage of any kind for services of any kind rendered to the Company or any subsidiary, and the grant of an Award issued upon settlement is outside the scope of the person’s service / employment contract, if any;</w:t>
      </w:r>
    </w:p>
    <w:p>
      <w:pPr>
        <w:spacing w:after="0" w:line="161" w:lineRule="exact"/>
        <w:rPr>
          <w:rFonts w:ascii="Times New Roman" w:cs="Times New Roman" w:eastAsia="Times New Roman" w:hAnsi="Times New Roman"/>
          <w:sz w:val="20"/>
          <w:szCs w:val="20"/>
          <w:color w:val="auto"/>
        </w:rPr>
      </w:pPr>
    </w:p>
    <w:p>
      <w:pPr>
        <w:jc w:val="both"/>
        <w:ind w:firstLine="1304"/>
        <w:spacing w:after="0" w:line="258" w:lineRule="auto"/>
        <w:tabs>
          <w:tab w:leader="none" w:pos="216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labor law purposes, an Award issued upon settlement is not part of normal or expected fees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or any subsidiary or affiliate of the Company;</w:t>
      </w:r>
    </w:p>
    <w:p>
      <w:pPr>
        <w:spacing w:after="0" w:line="185" w:lineRule="exact"/>
        <w:rPr>
          <w:rFonts w:ascii="Times New Roman" w:cs="Times New Roman" w:eastAsia="Times New Roman" w:hAnsi="Times New Roman"/>
          <w:sz w:val="20"/>
          <w:szCs w:val="20"/>
          <w:color w:val="auto"/>
        </w:rPr>
      </w:pPr>
    </w:p>
    <w:p>
      <w:pPr>
        <w:ind w:left="2140" w:hanging="836"/>
        <w:spacing w:after="0"/>
        <w:tabs>
          <w:tab w:leader="none" w:pos="21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issued upon settlement is not intended to replace any pension rights or compensation; and</w:t>
      </w:r>
    </w:p>
    <w:p>
      <w:pPr>
        <w:spacing w:after="0" w:line="215" w:lineRule="exact"/>
        <w:rPr>
          <w:rFonts w:ascii="Times New Roman" w:cs="Times New Roman" w:eastAsia="Times New Roman" w:hAnsi="Times New Roman"/>
          <w:sz w:val="20"/>
          <w:szCs w:val="20"/>
          <w:color w:val="auto"/>
        </w:rPr>
      </w:pPr>
    </w:p>
    <w:p>
      <w:pPr>
        <w:ind w:left="2140" w:hanging="836"/>
        <w:spacing w:after="0"/>
        <w:tabs>
          <w:tab w:leader="none" w:pos="21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Award is unknown and cannot be predicted with certainty.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NETHERLANDS</w:t>
      </w:r>
    </w:p>
    <w:p>
      <w:pPr>
        <w:spacing w:after="0" w:line="220" w:lineRule="exact"/>
        <w:rPr>
          <w:sz w:val="20"/>
          <w:szCs w:val="20"/>
          <w:color w:val="auto"/>
        </w:rPr>
      </w:pPr>
    </w:p>
    <w:p>
      <w:pPr>
        <w:jc w:val="both"/>
        <w:ind w:firstLine="656"/>
        <w:spacing w:after="0" w:line="253" w:lineRule="auto"/>
        <w:tabs>
          <w:tab w:leader="none" w:pos="12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For the avoidance of doubt, taxes include social security contributions. The Participant shall indemnify the Company or, to the extent relevant by way of a third party stipulation for no consideration, the Employer from and against any liability for or obligation to pay any tax liability (a “</w:t>
      </w:r>
      <w:r>
        <w:rPr>
          <w:rFonts w:ascii="Times New Roman" w:cs="Times New Roman" w:eastAsia="Times New Roman" w:hAnsi="Times New Roman"/>
          <w:sz w:val="20"/>
          <w:szCs w:val="20"/>
          <w:b w:val="1"/>
          <w:bCs w:val="1"/>
          <w:i w:val="1"/>
          <w:iCs w:val="1"/>
          <w:color w:val="auto"/>
        </w:rPr>
        <w:t>Tax Liability</w:t>
      </w:r>
      <w:r>
        <w:rPr>
          <w:rFonts w:ascii="Times New Roman" w:cs="Times New Roman" w:eastAsia="Times New Roman" w:hAnsi="Times New Roman"/>
          <w:sz w:val="20"/>
          <w:szCs w:val="20"/>
          <w:color w:val="auto"/>
        </w:rPr>
        <w:t>” being any liability for income tax, withholding tax and any other employment related taxes in any jurisdiction, including but not limited to wage tax or social security contributions and interest and penalties relating thereto, as applicable) that is attributable to (1) the grant or vesting of, or any benefit the Participant derives from, the RSUs, (2) the Participant’s acquisition of Shares, or (3) the disposal of any Shares.</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For the avoidance of doubt, and notwithstanding anything to the contrary contained in the Agreement or this Appendix, the definition of Termination of Service, shall be subject to Dutch law and its interpretation. For purposes of this Agreement and the Plan,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officer or other employee (as determined in accordance with Article 7:610 of the Dutch Civil Code) of the Company.</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information contained herein does not constitute an offer of securities to the public in the Netherlands requiring publication of a prospectus in accordance with the European Prospectus Regulation. Participation in the Plan is restricted to Employees of the Company and its subsidiaries who meet the eligibility criteria. The information contained herein is intended only for those Employees of the Company and its subsidiaries eligible to participate in the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A-8</w:t>
      </w:r>
    </w:p>
    <w:p>
      <w:pPr>
        <w:sectPr>
          <w:pgSz w:w="11900" w:h="16838" w:orient="portrait"/>
          <w:cols w:equalWidth="0" w:num="1">
            <w:col w:w="11240"/>
          </w:cols>
          <w:pgMar w:left="320" w:top="1413" w:right="339" w:bottom="1440" w:gutter="0" w:footer="0" w:header="0"/>
        </w:sectPr>
      </w:pPr>
    </w:p>
    <w:bookmarkStart w:id="218" w:name="page219"/>
    <w:bookmarkEnd w:id="218"/>
    <w:p>
      <w:pPr>
        <w:jc w:val="both"/>
        <w:ind w:firstLine="246"/>
        <w:spacing w:after="0" w:line="251" w:lineRule="auto"/>
        <w:tabs>
          <w:tab w:leader="none" w:pos="62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Polish residents holding foreign securities (including Shares) and maintaining accounts abroad must file reports with the National Bank of Poland if the aggregate value of Shares and cash held in such foreign accounts exceeds PLN 7,000,000.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EUR 15,000 (or PLN 15,000 if such transfer of funds is associated with the business activity of a consultant)). Participant must store all documents connected with any foreign exchange transactions Participant engages in for a period of five years from the end of the year when such transactions were made. Penalties may apply for failure to comply with exchange control requirements.</w:t>
      </w:r>
    </w:p>
    <w:p>
      <w:pPr>
        <w:spacing w:after="0" w:line="195" w:lineRule="exact"/>
        <w:rPr>
          <w:rFonts w:ascii="Times New Roman" w:cs="Times New Roman" w:eastAsia="Times New Roman" w:hAnsi="Times New Roman"/>
          <w:sz w:val="20"/>
          <w:szCs w:val="20"/>
          <w:color w:val="auto"/>
        </w:rPr>
      </w:pPr>
    </w:p>
    <w:p>
      <w:pPr>
        <w:ind w:firstLine="656"/>
        <w:spacing w:after="0" w:line="269" w:lineRule="auto"/>
        <w:tabs>
          <w:tab w:leader="none" w:pos="99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Nature of Plan and Rights</w:t>
      </w:r>
      <w:r>
        <w:rPr>
          <w:rFonts w:ascii="Times New Roman" w:cs="Times New Roman" w:eastAsia="Times New Roman" w:hAnsi="Times New Roman"/>
          <w:sz w:val="20"/>
          <w:szCs w:val="20"/>
          <w:color w:val="auto"/>
        </w:rPr>
        <w:t>. This provision supplements the acknowledgments set forth above in Section 2 of this Appendix:</w:t>
      </w:r>
    </w:p>
    <w:p>
      <w:pPr>
        <w:spacing w:after="0" w:line="173" w:lineRule="exact"/>
        <w:rPr>
          <w:sz w:val="20"/>
          <w:szCs w:val="20"/>
          <w:color w:val="auto"/>
        </w:rPr>
      </w:pPr>
    </w:p>
    <w:p>
      <w:pPr>
        <w:jc w:val="both"/>
        <w:ind w:firstLine="256"/>
        <w:spacing w:after="0" w:line="253" w:lineRule="auto"/>
        <w:rPr>
          <w:sz w:val="20"/>
          <w:szCs w:val="20"/>
          <w:color w:val="auto"/>
        </w:rPr>
      </w:pPr>
      <w:r>
        <w:rPr>
          <w:rFonts w:ascii="Times New Roman" w:cs="Times New Roman" w:eastAsia="Times New Roman" w:hAnsi="Times New Roman"/>
          <w:sz w:val="20"/>
          <w:szCs w:val="20"/>
          <w:color w:val="auto"/>
        </w:rPr>
        <w:t>In participating in the Plan, Participant acknowledges that no prospectus will be published for the purpose of the offering, issuance and sale of the underlying Shares and any offering of the Shares is conducted by the Company in reliance on the exemption from the obligation to publish a prospectus set forth in Article 1 of the Regulation (EU) 2017/1129 of the European Parliament and of the Council of 14 June 2017 on the prospectus to be published when securities are offered to the public or admitted to trading on a regulated market, and repealing Directive 2003/71/EC.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ROMANIA</w:t>
      </w:r>
    </w:p>
    <w:p>
      <w:pPr>
        <w:spacing w:after="0" w:line="233" w:lineRule="exact"/>
        <w:rPr>
          <w:sz w:val="20"/>
          <w:szCs w:val="20"/>
          <w:color w:val="auto"/>
        </w:rPr>
      </w:pPr>
    </w:p>
    <w:p>
      <w:pPr>
        <w:jc w:val="both"/>
        <w:ind w:firstLine="219"/>
        <w:spacing w:after="0" w:line="251" w:lineRule="auto"/>
        <w:tabs>
          <w:tab w:leader="none" w:pos="57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Any transfer of funds exceeding EUR 15,000 (whether via one transaction or several transactions that appear to be linked to each other) must be reported to the National Office for Prevention and Control of Money Laundering on specific forms by the relevant bank or financial institution. If Participant deposits proceeds from the sale of Shares or the receipt of dividends or Dividend Equivalents in a bank account in Romania, Participant may be required to provide the Romanian bank assisting with the transaction with appropriate documentation explaining the source of the income. Participant should consult with a legal advisor to determine whether Participant will be required to submit such documentation to the Romanian bank.</w:t>
      </w:r>
    </w:p>
    <w:p>
      <w:pPr>
        <w:spacing w:after="0" w:line="190" w:lineRule="exact"/>
        <w:rPr>
          <w:sz w:val="20"/>
          <w:szCs w:val="20"/>
          <w:color w:val="auto"/>
        </w:rPr>
      </w:pPr>
    </w:p>
    <w:p>
      <w:pPr>
        <w:jc w:val="both"/>
        <w:ind w:firstLine="233"/>
        <w:spacing w:after="0" w:line="258" w:lineRule="auto"/>
        <w:rPr>
          <w:sz w:val="20"/>
          <w:szCs w:val="20"/>
          <w:color w:val="auto"/>
        </w:rPr>
      </w:pPr>
      <w:r>
        <w:rPr>
          <w:rFonts w:ascii="Times New Roman" w:cs="Times New Roman" w:eastAsia="Times New Roman" w:hAnsi="Times New Roman"/>
          <w:sz w:val="20"/>
          <w:szCs w:val="20"/>
          <w:color w:val="auto"/>
        </w:rPr>
        <w:t>The acquisition, payment, holding and sale of foreign securities by the Romanian residents, as well as the receipt of dividends in foreign currency should not be subject to any restrictions/ special requirements from the perspective of the exchange control regulations. To be noted, while probably not the case, the acquisition of foreign securities representing 10% or more of the issuer’s share capital requires prior notification of the National Bank of Romania.</w:t>
      </w:r>
    </w:p>
    <w:p>
      <w:pPr>
        <w:spacing w:after="0" w:line="172" w:lineRule="exact"/>
        <w:rPr>
          <w:sz w:val="20"/>
          <w:szCs w:val="20"/>
          <w:color w:val="auto"/>
        </w:rPr>
      </w:pPr>
    </w:p>
    <w:p>
      <w:pPr>
        <w:jc w:val="both"/>
        <w:ind w:firstLine="273"/>
        <w:spacing w:after="0" w:line="258" w:lineRule="auto"/>
        <w:tabs>
          <w:tab w:leader="none" w:pos="67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 Consent</w:t>
      </w:r>
      <w:r>
        <w:rPr>
          <w:rFonts w:ascii="Times New Roman" w:cs="Times New Roman" w:eastAsia="Times New Roman" w:hAnsi="Times New Roman"/>
          <w:sz w:val="20"/>
          <w:szCs w:val="20"/>
          <w:color w:val="auto"/>
        </w:rPr>
        <w:t>. Participant acknowledges that a Romanian language version of the Agreement is available from the Company upon request by contacting Playtika Ltd., HaChoshlim St 8, Herzliya Pituarch, Israel, telephone number: 972-73-316-3251, and is also available through the Company’s online equity plan administrator, Shareworks. Participant hereby confirms that he or she is able to read and understand the terms of this Agreement and any other documents related to the RSUs.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SWITZERLAND</w:t>
      </w:r>
    </w:p>
    <w:p>
      <w:pPr>
        <w:spacing w:after="0" w:line="220" w:lineRule="exact"/>
        <w:rPr>
          <w:sz w:val="20"/>
          <w:szCs w:val="20"/>
          <w:color w:val="auto"/>
        </w:rPr>
      </w:pPr>
    </w:p>
    <w:p>
      <w:pPr>
        <w:ind w:firstLine="260"/>
        <w:spacing w:after="0" w:line="283" w:lineRule="auto"/>
        <w:tabs>
          <w:tab w:leader="none" w:pos="65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RSUs and the issuance of any Shares thereunder is not intended to be publicly offered in or from Switzerland. Neither this Agreement nor any other materials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A-9</w:t>
      </w:r>
    </w:p>
    <w:p>
      <w:pPr>
        <w:sectPr>
          <w:pgSz w:w="11900" w:h="16838" w:orient="portrait"/>
          <w:cols w:equalWidth="0" w:num="1">
            <w:col w:w="11240"/>
          </w:cols>
          <w:pgMar w:left="320" w:top="1413"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0"/>
          <w:szCs w:val="20"/>
          <w:color w:val="auto"/>
        </w:rPr>
        <w:t>relating to the RSUs (a) constitute a prospectus as such term is understood pursuant to article 35 et seq. of the Swiss Financial Services Act,</w:t>
      </w:r>
    </w:p>
    <w:p>
      <w:pPr>
        <w:spacing w:after="0" w:line="28" w:lineRule="exact"/>
        <w:rPr>
          <w:sz w:val="20"/>
          <w:szCs w:val="20"/>
          <w:color w:val="auto"/>
        </w:rPr>
      </w:pPr>
    </w:p>
    <w:p>
      <w:pPr>
        <w:ind w:firstLine="8"/>
        <w:spacing w:after="0" w:line="253" w:lineRule="auto"/>
        <w:tabs>
          <w:tab w:leader="none" w:pos="291"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publicly distributed nor otherwise made publicly available in Switzerland, or (c) have been or will be filed with or approved by any Swiss reviewing body or any Swiss regulatory authority.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UKRAINE</w:t>
      </w:r>
    </w:p>
    <w:p>
      <w:pPr>
        <w:spacing w:after="0" w:line="220" w:lineRule="exact"/>
        <w:rPr>
          <w:sz w:val="20"/>
          <w:szCs w:val="20"/>
          <w:color w:val="auto"/>
        </w:rPr>
      </w:pPr>
    </w:p>
    <w:p>
      <w:pPr>
        <w:ind w:right="20" w:firstLine="267"/>
        <w:spacing w:after="0" w:line="283" w:lineRule="auto"/>
        <w:tabs>
          <w:tab w:leader="none" w:pos="66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The RSU and the issuance of any Shares thereunder is not intended to be publicly offered in or from Ukraine.</w:t>
      </w:r>
    </w:p>
    <w:p>
      <w:pPr>
        <w:spacing w:after="0" w:line="159" w:lineRule="exact"/>
        <w:rPr>
          <w:rFonts w:ascii="Times New Roman" w:cs="Times New Roman" w:eastAsia="Times New Roman" w:hAnsi="Times New Roman"/>
          <w:sz w:val="20"/>
          <w:szCs w:val="20"/>
          <w:color w:val="auto"/>
        </w:rPr>
      </w:pPr>
    </w:p>
    <w:p>
      <w:pPr>
        <w:ind w:firstLine="646"/>
        <w:spacing w:after="0" w:line="269" w:lineRule="auto"/>
        <w:tabs>
          <w:tab w:leader="none" w:pos="1011"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If transfer of funds, including at repatriation of RSU-related proceeds, falls under the categories of “threshold transaction” or “suspicious transaction”, it will be subject to financial monitoring in Ukraine.</w:t>
      </w:r>
    </w:p>
    <w:p>
      <w:pPr>
        <w:spacing w:after="0" w:line="173" w:lineRule="exact"/>
        <w:rPr>
          <w:sz w:val="20"/>
          <w:szCs w:val="20"/>
          <w:color w:val="auto"/>
        </w:rPr>
      </w:pPr>
    </w:p>
    <w:p>
      <w:pPr>
        <w:jc w:val="both"/>
        <w:ind w:firstLine="638"/>
        <w:spacing w:after="0" w:line="253" w:lineRule="auto"/>
        <w:rPr>
          <w:sz w:val="20"/>
          <w:szCs w:val="20"/>
          <w:color w:val="auto"/>
        </w:rPr>
      </w:pPr>
      <w:r>
        <w:rPr>
          <w:rFonts w:ascii="Times New Roman" w:cs="Times New Roman" w:eastAsia="Times New Roman" w:hAnsi="Times New Roman"/>
          <w:sz w:val="20"/>
          <w:szCs w:val="20"/>
          <w:color w:val="auto"/>
        </w:rPr>
        <w:t>A “threshold transaction” shall mean a transaction which equals to or exceeds UAH 400,000 (approximately EUR 11,700) and (a) any participant of the transaction is registered/located in a country that fails to comply with FATF and other international anti-money laundering rules, or (b) financial transaction is carried out by a politically exposed person(s), their family members and affiliates, or (c) transaction provides for the cross-border transfer of funds, or (d) transaction provides for financial operations with cash. A “suspicious transaction” shall mean a transaction in respect of which irrespectively of its amount a Ukrainian bank has sufficient grounds to suspect that funds are a result of criminal activity or are related to terrorist financing or the proliferation of weapons of mass destruction.</w:t>
      </w:r>
    </w:p>
    <w:p>
      <w:pPr>
        <w:spacing w:after="0" w:line="179" w:lineRule="exact"/>
        <w:rPr>
          <w:sz w:val="20"/>
          <w:szCs w:val="20"/>
          <w:color w:val="auto"/>
        </w:rPr>
      </w:pPr>
    </w:p>
    <w:p>
      <w:pPr>
        <w:jc w:val="both"/>
        <w:ind w:firstLine="689"/>
        <w:spacing w:after="0" w:line="258" w:lineRule="auto"/>
        <w:rPr>
          <w:sz w:val="20"/>
          <w:szCs w:val="20"/>
          <w:color w:val="auto"/>
        </w:rPr>
      </w:pPr>
      <w:r>
        <w:rPr>
          <w:rFonts w:ascii="Times New Roman" w:cs="Times New Roman" w:eastAsia="Times New Roman" w:hAnsi="Times New Roman"/>
          <w:sz w:val="20"/>
          <w:szCs w:val="20"/>
          <w:color w:val="auto"/>
        </w:rPr>
        <w:t>Participant understands that Participant is responsible for complying with the applicable exchange control regulations in Ukraine. As the exchange control regulations in Ukraine may change without notice, Participant has been advised to consult a legal advisor prior to opening any account outside of Ukraine and in connection with the acquisition and the sale of any shares of Common Stock under the Plan to ensure Participant’s compliance with the regulations.</w:t>
      </w:r>
    </w:p>
    <w:p>
      <w:pPr>
        <w:spacing w:after="0" w:line="186" w:lineRule="exact"/>
        <w:rPr>
          <w:sz w:val="20"/>
          <w:szCs w:val="20"/>
          <w:color w:val="auto"/>
        </w:rPr>
      </w:pPr>
    </w:p>
    <w:p>
      <w:pPr>
        <w:jc w:val="both"/>
        <w:ind w:right="20" w:firstLine="656"/>
        <w:spacing w:after="0" w:line="254" w:lineRule="auto"/>
        <w:tabs>
          <w:tab w:leader="none" w:pos="99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Obligations</w:t>
      </w:r>
      <w:r>
        <w:rPr>
          <w:rFonts w:ascii="Times New Roman" w:cs="Times New Roman" w:eastAsia="Times New Roman" w:hAnsi="Times New Roman"/>
          <w:sz w:val="20"/>
          <w:szCs w:val="20"/>
          <w:color w:val="auto"/>
        </w:rPr>
        <w:t>. If Participant is a tax resident of Ukraine, nothing in this Agreement shall require the Company (or any Related Entity) to fulfill any obligations related to taxation of Participant in Ukraine in relation to the RSU and the relevant Shares, which shall be handled by Participant. Participant is obliged to report income in the annual tax return to be filed before May 1 and the tax to be paid before August 1 of the respective following year.</w:t>
      </w:r>
    </w:p>
    <w:p>
      <w:pPr>
        <w:spacing w:after="0" w:line="187" w:lineRule="exact"/>
        <w:rPr>
          <w:sz w:val="20"/>
          <w:szCs w:val="20"/>
          <w:color w:val="auto"/>
        </w:rPr>
      </w:pPr>
    </w:p>
    <w:p>
      <w:pPr>
        <w:jc w:val="both"/>
        <w:ind w:firstLine="729"/>
        <w:spacing w:after="0" w:line="283" w:lineRule="auto"/>
        <w:rPr>
          <w:sz w:val="20"/>
          <w:szCs w:val="20"/>
          <w:color w:val="auto"/>
        </w:rPr>
      </w:pPr>
      <w:r>
        <w:rPr>
          <w:rFonts w:ascii="Times New Roman" w:cs="Times New Roman" w:eastAsia="Times New Roman" w:hAnsi="Times New Roman"/>
          <w:sz w:val="20"/>
          <w:szCs w:val="20"/>
          <w:color w:val="auto"/>
        </w:rPr>
        <w:t>Ukrainian tax legislation does not have specific rules for taxation of RSUs and related events such as “grant, vesting of RSUs and settlement/payment of RSUs by Shares” and adverse interpretations of the law by tax authorities are possible.</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Participant shall normally not be taxed on grant and vesting of RSUs.</w:t>
      </w:r>
    </w:p>
    <w:p>
      <w:pPr>
        <w:spacing w:after="0" w:line="243"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On delivery of the Shares, Participant will be obliged to pay 19.5% tax (18% income tax and 1.5% military tax) on the market value of Shares transferred to such Participant “free of charge” in settlement of RSUs (including any Dividend Equivalents settled in additional RSU). Assuming that the Shares were received by Participant free of charge (as a gift). Sale of such Shares by Participant will be subject to an additional 19.5% tax (18% income tax and 1.5% military tax) on gain which is calculated as the amount equal to the sale price value minus Participant’s cost basis in the Shares. Such cost is not the full value of the gift, but only the amount of 18% income tax previously paid by Participant on receipt of such gift. This may result in double taxation for Participant on part of the gain.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A-10</w:t>
      </w:r>
    </w:p>
    <w:p>
      <w:pPr>
        <w:sectPr>
          <w:pgSz w:w="11900" w:h="16838" w:orient="portrait"/>
          <w:cols w:equalWidth="0" w:num="1">
            <w:col w:w="11240"/>
          </w:cols>
          <w:pgMar w:left="320" w:top="1413" w:right="339" w:bottom="1440" w:gutter="0" w:footer="0" w:header="0"/>
        </w:sectPr>
      </w:pPr>
    </w:p>
    <w:bookmarkStart w:id="220" w:name="page221"/>
    <w:bookmarkEnd w:id="220"/>
    <w:p>
      <w:pPr>
        <w:jc w:val="both"/>
        <w:ind w:firstLine="729"/>
        <w:spacing w:after="0" w:line="261" w:lineRule="auto"/>
        <w:rPr>
          <w:sz w:val="20"/>
          <w:szCs w:val="20"/>
          <w:color w:val="auto"/>
        </w:rPr>
      </w:pPr>
      <w:r>
        <w:rPr>
          <w:rFonts w:ascii="Times New Roman" w:cs="Times New Roman" w:eastAsia="Times New Roman" w:hAnsi="Times New Roman"/>
          <w:sz w:val="20"/>
          <w:szCs w:val="20"/>
          <w:color w:val="auto"/>
        </w:rPr>
        <w:t>If during settlement of the RSUs, no Shares are delivered and no title to Shares passes to Participant, but rather Participant receives an amount of cash of an equal value (including any Dividend Equivalents settled in cash), such amount will be subject to 19.5% tax (18% income tax and 1.5% military tax).</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20" w:lineRule="exact"/>
        <w:rPr>
          <w:sz w:val="20"/>
          <w:szCs w:val="20"/>
          <w:color w:val="auto"/>
        </w:rPr>
      </w:pPr>
    </w:p>
    <w:p>
      <w:pPr>
        <w:jc w:val="both"/>
        <w:ind w:firstLine="226"/>
        <w:spacing w:after="0" w:line="253" w:lineRule="auto"/>
        <w:tabs>
          <w:tab w:leader="none" w:pos="585"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Terms of the Plan</w:t>
      </w:r>
      <w:r>
        <w:rPr>
          <w:rFonts w:ascii="Times New Roman" w:cs="Times New Roman" w:eastAsia="Times New Roman" w:hAnsi="Times New Roman"/>
          <w:sz w:val="20"/>
          <w:szCs w:val="20"/>
          <w:color w:val="auto"/>
        </w:rPr>
        <w:t>. Notwithstanding anything in the Plan to the contrary, in the United Kingdom only Employees are eligible to be granted Awards. Other persons who are not Employees are not eligible to receive Awards in the United Kingdom. This Agreement forms the rules of the employee share scheme applicable to United Kingdom-based Employees. All Awards granted to Employees who are based in the United Kingdom will be granted on similar terms. This Agreement incorporates the terms of the Plan with the exception that reference to “Service Provider” when used in the Plan (as incorporated into the Agreement) and in the Agreement itself shall mean Employee only and shall not include other persons providing services to the Company or any Related Entity. Accordingly, all references in the Agreement to Participant’s service, service agreement or termination of service shall be interpreted as references to Participant’s employment, contract of employment or termination of employment.</w:t>
      </w:r>
    </w:p>
    <w:p>
      <w:pPr>
        <w:spacing w:after="0" w:line="180" w:lineRule="exact"/>
        <w:rPr>
          <w:rFonts w:ascii="Times New Roman" w:cs="Times New Roman" w:eastAsia="Times New Roman" w:hAnsi="Times New Roman"/>
          <w:sz w:val="20"/>
          <w:szCs w:val="20"/>
          <w:color w:val="auto"/>
        </w:rPr>
      </w:pPr>
    </w:p>
    <w:p>
      <w:pPr>
        <w:ind w:left="560" w:hanging="354"/>
        <w:spacing w:after="0"/>
        <w:tabs>
          <w:tab w:leader="none" w:pos="5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 and Indemnity</w:t>
      </w:r>
      <w:r>
        <w:rPr>
          <w:rFonts w:ascii="Times New Roman" w:cs="Times New Roman" w:eastAsia="Times New Roman" w:hAnsi="Times New Roman"/>
          <w:sz w:val="20"/>
          <w:szCs w:val="20"/>
          <w:color w:val="auto"/>
        </w:rPr>
        <w:t>. This provision supplements Section 4.2 of the Agreement:</w:t>
      </w:r>
    </w:p>
    <w:p>
      <w:pPr>
        <w:spacing w:after="0" w:line="225" w:lineRule="exact"/>
        <w:rPr>
          <w:rFonts w:ascii="Times New Roman" w:cs="Times New Roman" w:eastAsia="Times New Roman" w:hAnsi="Times New Roman"/>
          <w:sz w:val="20"/>
          <w:szCs w:val="20"/>
          <w:color w:val="auto"/>
        </w:rPr>
      </w:pPr>
    </w:p>
    <w:p>
      <w:pPr>
        <w:jc w:val="both"/>
        <w:ind w:firstLine="441"/>
        <w:spacing w:after="0" w:line="251" w:lineRule="auto"/>
        <w:tabs>
          <w:tab w:leader="none" w:pos="870"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is a resident of the United Kingdom, then the “</w:t>
      </w:r>
      <w:r>
        <w:rPr>
          <w:rFonts w:ascii="Times New Roman" w:cs="Times New Roman" w:eastAsia="Times New Roman" w:hAnsi="Times New Roman"/>
          <w:sz w:val="20"/>
          <w:szCs w:val="20"/>
          <w:b w:val="1"/>
          <w:bCs w:val="1"/>
          <w:i w:val="1"/>
          <w:iCs w:val="1"/>
          <w:color w:val="auto"/>
        </w:rPr>
        <w:t>Tax Obligations</w:t>
      </w:r>
      <w:r>
        <w:rPr>
          <w:rFonts w:ascii="Times New Roman" w:cs="Times New Roman" w:eastAsia="Times New Roman" w:hAnsi="Times New Roman"/>
          <w:sz w:val="20"/>
          <w:szCs w:val="20"/>
          <w:color w:val="auto"/>
        </w:rPr>
        <w:t>” shall also include Participant’s primary (employee) national insurance contributions and, at the Company’s discretion, any secondary (employer) national insurance contributions of the Company Group (or other similar obligations wherever in the world arising). Participant agrees that Participant is liable for all Tax Obligations and hereby covenants to pay all such Tax Obligations as and when requested by the Company Group or by Her Majesty’s Revenue and Customs (“</w:t>
      </w:r>
      <w:r>
        <w:rPr>
          <w:rFonts w:ascii="Times New Roman" w:cs="Times New Roman" w:eastAsia="Times New Roman" w:hAnsi="Times New Roman"/>
          <w:sz w:val="20"/>
          <w:szCs w:val="20"/>
          <w:b w:val="1"/>
          <w:bCs w:val="1"/>
          <w:i w:val="1"/>
          <w:iCs w:val="1"/>
          <w:color w:val="auto"/>
        </w:rPr>
        <w:t>HMRC</w:t>
      </w:r>
      <w:r>
        <w:rPr>
          <w:rFonts w:ascii="Times New Roman" w:cs="Times New Roman" w:eastAsia="Times New Roman" w:hAnsi="Times New Roman"/>
          <w:sz w:val="20"/>
          <w:szCs w:val="20"/>
          <w:color w:val="auto"/>
        </w:rPr>
        <w:t>”) (or any other tax authority or any other relevant authority). Participant also agrees to indemnify and keep indemnified the Company Group against any Tax Obligations that they are required to pay or withhold or have paid or will pay to HMRC (or any other tax authority or any other relevant authority) on Participant’s behalf that is attributable to: (1) the grant or settlement of, or any benefit derived by Participant from, the RSUs or the Shares which are the subject of the RSUs; (2) the transfer or issuance of Shares on the settlement of the RSUs; (3) any restrictions applicable to any Shares held by Participant ceasing to apply thereto; or (4) the disposal of any Shares (each, a “</w:t>
      </w:r>
      <w:r>
        <w:rPr>
          <w:rFonts w:ascii="Times New Roman" w:cs="Times New Roman" w:eastAsia="Times New Roman" w:hAnsi="Times New Roman"/>
          <w:sz w:val="20"/>
          <w:szCs w:val="20"/>
          <w:b w:val="1"/>
          <w:bCs w:val="1"/>
          <w:i w:val="1"/>
          <w:iCs w:val="1"/>
          <w:color w:val="auto"/>
        </w:rPr>
        <w:t>Taxable Event</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firstLine="448"/>
        <w:spacing w:after="0" w:line="269" w:lineRule="auto"/>
        <w:tabs>
          <w:tab w:leader="none" w:pos="887" w:val="left"/>
        </w:tabs>
        <w:numPr>
          <w:ilvl w:val="2"/>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RSUs cannot be settled until Participant has made such arrangements as the Company may require for the satisfaction of any Tax Obligations that may arise in connection with the vesting and settlement of the RSUs and/or the acquisition of Shares by Participant. The Company shall not be required to issue, allot or transfer Shares until Participant has satisfied this obligation. Participant undertakes that, upon request by the Company, Participant will join with his or her Employer in electing, pursuant to Section 431(1) of the Income Tax (Earnings and Pensions) Act 2003 (“</w:t>
      </w:r>
      <w:r>
        <w:rPr>
          <w:rFonts w:ascii="Times New Roman" w:cs="Times New Roman" w:eastAsia="Times New Roman" w:hAnsi="Times New Roman"/>
          <w:sz w:val="19"/>
          <w:szCs w:val="19"/>
          <w:b w:val="1"/>
          <w:bCs w:val="1"/>
          <w:i w:val="1"/>
          <w:iCs w:val="1"/>
          <w:color w:val="auto"/>
        </w:rPr>
        <w:t>ITEPA</w:t>
      </w:r>
      <w:r>
        <w:rPr>
          <w:rFonts w:ascii="Times New Roman" w:cs="Times New Roman" w:eastAsia="Times New Roman" w:hAnsi="Times New Roman"/>
          <w:sz w:val="19"/>
          <w:szCs w:val="19"/>
          <w:color w:val="auto"/>
        </w:rPr>
        <w:t>”) that, for relevant tax purposes, the market value of the Shares issued upon vesting of the RSUs on any occasion will be calculated as if the Shares were not restricted and Sections 425 to 430 (inclusive) of ITEPA are not to apply to such Shares.</w:t>
      </w:r>
    </w:p>
    <w:p>
      <w:pPr>
        <w:spacing w:after="0" w:line="164" w:lineRule="exact"/>
        <w:rPr>
          <w:rFonts w:ascii="Times New Roman" w:cs="Times New Roman" w:eastAsia="Times New Roman" w:hAnsi="Times New Roman"/>
          <w:sz w:val="19"/>
          <w:szCs w:val="19"/>
          <w:color w:val="auto"/>
        </w:rPr>
      </w:pPr>
    </w:p>
    <w:p>
      <w:pPr>
        <w:jc w:val="both"/>
        <w:ind w:firstLine="433"/>
        <w:spacing w:after="0" w:line="261" w:lineRule="auto"/>
        <w:tabs>
          <w:tab w:leader="none" w:pos="857"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that if Participant does not pay or the Company Group does not withhold from Participant the full amount of all Tax Obligations that Participant owes due to any Taxable Event within ninety (90) days after the end of the tax year in which the Taxable Event occurred, or such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A-11</w:t>
      </w:r>
    </w:p>
    <w:p>
      <w:pPr>
        <w:sectPr>
          <w:pgSz w:w="11900" w:h="16838" w:orient="portrait"/>
          <w:cols w:equalWidth="0" w:num="1">
            <w:col w:w="11240"/>
          </w:cols>
          <w:pgMar w:left="320" w:top="1413" w:right="339" w:bottom="1440" w:gutter="0" w:footer="0" w:header="0"/>
        </w:sectPr>
      </w:pPr>
    </w:p>
    <w:bookmarkStart w:id="221" w:name="page222"/>
    <w:bookmarkEnd w:id="221"/>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other period specified in Section 222(1)(c) of ITEPA, then the amount that should have been withheld shall constitute a loan owed by Participant to the Employer, effective ninety (90) days after the end of the tax year in which the Taxable Event occurred. Participant agrees that the loan will bear interest at the HMRC’s official rate and will be immediately due and repayable by Participant, and the Company and/or the Employer may recover it at any time thereafter by withholding the funds from salary, bonus or any other funds due to Participant by the Employer, by withholding in Shares issued upon vesting and settlement of the RSUs or from the cash proceeds from the sale of Shares or by demanding cash or a cheque from Participant. Participant also authorizes the Company to delay the issuance of any Shares to Participant unless and until the loan is repaid in full.</w:t>
      </w:r>
    </w:p>
    <w:p>
      <w:pPr>
        <w:spacing w:after="0" w:line="58" w:lineRule="exact"/>
        <w:rPr>
          <w:sz w:val="20"/>
          <w:szCs w:val="20"/>
          <w:color w:val="auto"/>
        </w:rPr>
      </w:pPr>
    </w:p>
    <w:p>
      <w:pPr>
        <w:jc w:val="both"/>
        <w:ind w:firstLine="523"/>
        <w:spacing w:after="0" w:line="253" w:lineRule="auto"/>
        <w:tabs>
          <w:tab w:leader="none" w:pos="100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Participant is a director or executive officer of the Company (within the meaning of Section 13(k) of the Exchange Act), Participant understands that the foregoing provision will not apply. Instead, any Tax Obligations not collected within ninety (90) days of the end of the UK tax year in which an event giving rise to the Tax Obligation occurs may constitute a benefit to Participant on which additional income tax and national insurance contributions may be payable. Participant understands that he or she will be responsible for reporting and paying any income tax due on this additional benefit directly to HMRC under the self-assessment regime and for paying to the Company and/or the Employer (as appropriate) the amount of any national insurance contributions due on this additional benefit, which can be recovered by any means set out in the Agreement.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APPENDIX A-12</w:t>
      </w:r>
    </w:p>
    <w:p>
      <w:pPr>
        <w:sectPr>
          <w:pgSz w:w="11900" w:h="16838" w:orient="portrait"/>
          <w:cols w:equalWidth="0" w:num="1">
            <w:col w:w="11240"/>
          </w:cols>
          <w:pgMar w:left="320" w:top="1440" w:right="339" w:bottom="1440" w:gutter="0" w:footer="0" w:header="0"/>
        </w:sectPr>
      </w:pPr>
    </w:p>
    <w:bookmarkStart w:id="222" w:name="page223"/>
    <w:bookmarkEnd w:id="222"/>
    <w:p>
      <w:pPr>
        <w:ind w:left="4780"/>
        <w:spacing w:after="0"/>
        <w:rPr>
          <w:sz w:val="20"/>
          <w:szCs w:val="20"/>
          <w:color w:val="auto"/>
        </w:rPr>
      </w:pPr>
      <w:r>
        <w:rPr>
          <w:rFonts w:ascii="Times New Roman" w:cs="Times New Roman" w:eastAsia="Times New Roman" w:hAnsi="Times New Roman"/>
          <w:sz w:val="20"/>
          <w:szCs w:val="20"/>
          <w:b w:val="1"/>
          <w:bCs w:val="1"/>
          <w:color w:val="auto"/>
        </w:rPr>
        <w:t>ANNEX A TO THE</w:t>
      </w:r>
    </w:p>
    <w:p>
      <w:pPr>
        <w:spacing w:after="0" w:line="3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APPENDIX TO THE PLAYTIKA HOLDING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FOR PARTICIPANTS IN AUSTRALIA</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Law Notice and Australia Offer Document</w:t>
      </w:r>
    </w:p>
    <w:p>
      <w:pPr>
        <w:spacing w:after="0" w:line="233" w:lineRule="exact"/>
        <w:rPr>
          <w:sz w:val="20"/>
          <w:szCs w:val="20"/>
          <w:color w:val="auto"/>
        </w:rPr>
      </w:pPr>
    </w:p>
    <w:p>
      <w:pPr>
        <w:jc w:val="both"/>
        <w:ind w:firstLine="253"/>
        <w:spacing w:after="0" w:line="258" w:lineRule="auto"/>
        <w:rPr>
          <w:sz w:val="20"/>
          <w:szCs w:val="20"/>
          <w:color w:val="auto"/>
        </w:rPr>
      </w:pPr>
      <w:r>
        <w:rPr>
          <w:rFonts w:ascii="Times New Roman" w:cs="Times New Roman" w:eastAsia="Times New Roman" w:hAnsi="Times New Roman"/>
          <w:sz w:val="20"/>
          <w:szCs w:val="20"/>
          <w:color w:val="auto"/>
        </w:rPr>
        <w:t>This disclosure has been prepared in connection with offers to employees in Australia under the Playtika Holding Corp. 2020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Restricted Stock Unit Award Agreement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 copy of the terms of the Plan and the Agreement are enclosed. It has been prepared to ensure any offer under the Plan (“</w:t>
      </w:r>
      <w:r>
        <w:rPr>
          <w:rFonts w:ascii="Times New Roman" w:cs="Times New Roman" w:eastAsia="Times New Roman" w:hAnsi="Times New Roman"/>
          <w:sz w:val="20"/>
          <w:szCs w:val="20"/>
          <w:b w:val="1"/>
          <w:bCs w:val="1"/>
          <w:i w:val="1"/>
          <w:iCs w:val="1"/>
          <w:color w:val="auto"/>
        </w:rPr>
        <w:t>Offer</w:t>
      </w:r>
      <w:r>
        <w:rPr>
          <w:rFonts w:ascii="Times New Roman" w:cs="Times New Roman" w:eastAsia="Times New Roman" w:hAnsi="Times New Roman"/>
          <w:sz w:val="20"/>
          <w:szCs w:val="20"/>
          <w:color w:val="auto"/>
        </w:rPr>
        <w:t>”) satisfies the conditions for exemptions granted by the Australian Securities and Investments Commission (“</w:t>
      </w:r>
      <w:r>
        <w:rPr>
          <w:rFonts w:ascii="Times New Roman" w:cs="Times New Roman" w:eastAsia="Times New Roman" w:hAnsi="Times New Roman"/>
          <w:sz w:val="20"/>
          <w:szCs w:val="20"/>
          <w:b w:val="1"/>
          <w:bCs w:val="1"/>
          <w:i w:val="1"/>
          <w:iCs w:val="1"/>
          <w:color w:val="auto"/>
        </w:rPr>
        <w:t>ASIC</w:t>
      </w:r>
      <w:r>
        <w:rPr>
          <w:rFonts w:ascii="Times New Roman" w:cs="Times New Roman" w:eastAsia="Times New Roman" w:hAnsi="Times New Roman"/>
          <w:sz w:val="20"/>
          <w:szCs w:val="20"/>
          <w:color w:val="auto"/>
        </w:rPr>
        <w:t>”) under ASIC Class order 14/1000.</w:t>
      </w:r>
    </w:p>
    <w:p>
      <w:pPr>
        <w:spacing w:after="0" w:line="182" w:lineRule="exact"/>
        <w:rPr>
          <w:sz w:val="20"/>
          <w:szCs w:val="20"/>
          <w:color w:val="auto"/>
        </w:rPr>
      </w:pPr>
    </w:p>
    <w:p>
      <w:pPr>
        <w:jc w:val="both"/>
        <w:ind w:firstLine="209"/>
        <w:spacing w:after="0" w:line="273" w:lineRule="auto"/>
        <w:rPr>
          <w:sz w:val="20"/>
          <w:szCs w:val="20"/>
          <w:color w:val="auto"/>
        </w:rPr>
      </w:pPr>
      <w:r>
        <w:rPr>
          <w:rFonts w:ascii="Times New Roman" w:cs="Times New Roman" w:eastAsia="Times New Roman" w:hAnsi="Times New Roman"/>
          <w:sz w:val="20"/>
          <w:szCs w:val="20"/>
          <w:color w:val="auto"/>
        </w:rPr>
        <w:t xml:space="preserve">This offer is made under Part 7.12 Division 1A of the </w:t>
      </w:r>
      <w:r>
        <w:rPr>
          <w:rFonts w:ascii="Times New Roman" w:cs="Times New Roman" w:eastAsia="Times New Roman" w:hAnsi="Times New Roman"/>
          <w:sz w:val="20"/>
          <w:szCs w:val="20"/>
          <w:i w:val="1"/>
          <w:iCs w:val="1"/>
          <w:color w:val="auto"/>
        </w:rPr>
        <w:t>Corporations Act 2001</w:t>
      </w:r>
      <w:r>
        <w:rPr>
          <w:rFonts w:ascii="Times New Roman" w:cs="Times New Roman" w:eastAsia="Times New Roman" w:hAnsi="Times New Roman"/>
          <w:sz w:val="20"/>
          <w:szCs w:val="20"/>
          <w:color w:val="auto"/>
        </w:rPr>
        <w:t xml:space="preserve"> (Cth) (“</w:t>
      </w:r>
      <w:r>
        <w:rPr>
          <w:rFonts w:ascii="Times New Roman" w:cs="Times New Roman" w:eastAsia="Times New Roman" w:hAnsi="Times New Roman"/>
          <w:sz w:val="20"/>
          <w:szCs w:val="20"/>
          <w:b w:val="1"/>
          <w:bCs w:val="1"/>
          <w:i w:val="1"/>
          <w:iCs w:val="1"/>
          <w:color w:val="auto"/>
        </w:rPr>
        <w:t>Corporations 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and has been prepared to ensure any offer under the Plan (“</w:t>
      </w:r>
      <w:r>
        <w:rPr>
          <w:rFonts w:ascii="Times New Roman" w:cs="Times New Roman" w:eastAsia="Times New Roman" w:hAnsi="Times New Roman"/>
          <w:sz w:val="20"/>
          <w:szCs w:val="20"/>
          <w:b w:val="1"/>
          <w:bCs w:val="1"/>
          <w:i w:val="1"/>
          <w:iCs w:val="1"/>
          <w:color w:val="auto"/>
        </w:rPr>
        <w:t>Offer</w:t>
      </w:r>
      <w:r>
        <w:rPr>
          <w:rFonts w:ascii="Times New Roman" w:cs="Times New Roman" w:eastAsia="Times New Roman" w:hAnsi="Times New Roman"/>
          <w:sz w:val="20"/>
          <w:szCs w:val="20"/>
          <w:color w:val="auto"/>
        </w:rPr>
        <w:t>”) satisfies the conditions for regulatory relief under the Corporations Act.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Advice Only</w:t>
      </w:r>
    </w:p>
    <w:p>
      <w:pPr>
        <w:spacing w:after="0" w:line="233" w:lineRule="exact"/>
        <w:rPr>
          <w:sz w:val="20"/>
          <w:szCs w:val="20"/>
          <w:color w:val="auto"/>
        </w:rPr>
      </w:pPr>
    </w:p>
    <w:p>
      <w:pPr>
        <w:jc w:val="both"/>
        <w:ind w:firstLine="219"/>
        <w:spacing w:after="0" w:line="253" w:lineRule="auto"/>
        <w:rPr>
          <w:sz w:val="20"/>
          <w:szCs w:val="20"/>
          <w:color w:val="auto"/>
        </w:rPr>
      </w:pPr>
      <w:r>
        <w:rPr>
          <w:rFonts w:ascii="Times New Roman" w:cs="Times New Roman" w:eastAsia="Times New Roman" w:hAnsi="Times New Roman"/>
          <w:sz w:val="20"/>
          <w:szCs w:val="20"/>
          <w:color w:val="auto"/>
        </w:rPr>
        <w:t>Any advice given to Participant in connection with the Offer is general advice only. It does not take into account Participant’s objectives, financial situation and needs. No financial product advice is provided in the documentation relating to the Plan and nothing in the documentation should be taken to constitute a recommendation or statement of opinion that is intended to influence Participant in making a decision to participate in the Plan. This means that Participant should consider obtaining his or her own financial product advice from an independent person who is licensed by the Australian Securities and Investment Commission (“</w:t>
      </w:r>
      <w:r>
        <w:rPr>
          <w:rFonts w:ascii="Times New Roman" w:cs="Times New Roman" w:eastAsia="Times New Roman" w:hAnsi="Times New Roman"/>
          <w:sz w:val="20"/>
          <w:szCs w:val="20"/>
          <w:b w:val="1"/>
          <w:bCs w:val="1"/>
          <w:i w:val="1"/>
          <w:iCs w:val="1"/>
          <w:color w:val="auto"/>
        </w:rPr>
        <w:t>ASIC</w:t>
      </w:r>
      <w:r>
        <w:rPr>
          <w:rFonts w:ascii="Times New Roman" w:cs="Times New Roman" w:eastAsia="Times New Roman" w:hAnsi="Times New Roman"/>
          <w:sz w:val="20"/>
          <w:szCs w:val="20"/>
          <w:color w:val="auto"/>
        </w:rPr>
        <w:t>”) to give such advice.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Value of underlying Shares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will make available upon Participant’s request the Australian dollar equivalent of the Exercise Price and the current market price of the underlying Shares subject to the RSUs. Participant can get those details by contacting the Company at HaChoshlim St 8, Herzliya Pituarch, Israel, telephone number: 972-73-316-3251. The Participant may determine the value of the underlying Shares subject to the RSUs with reference to the current market price at which the Company’s shares are trading on the Nasdaq Global Select Market under ticker symbol “PLTK” from time to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Australian Dollar Equivalents</w:t>
      </w:r>
    </w:p>
    <w:p>
      <w:pPr>
        <w:spacing w:after="0" w:line="233" w:lineRule="exact"/>
        <w:rPr>
          <w:sz w:val="20"/>
          <w:szCs w:val="20"/>
          <w:color w:val="auto"/>
        </w:rPr>
      </w:pPr>
    </w:p>
    <w:p>
      <w:pPr>
        <w:jc w:val="both"/>
        <w:ind w:firstLine="200"/>
        <w:spacing w:after="0" w:line="253" w:lineRule="auto"/>
        <w:rPr>
          <w:sz w:val="20"/>
          <w:szCs w:val="20"/>
          <w:color w:val="auto"/>
        </w:rPr>
      </w:pPr>
      <w:r>
        <w:rPr>
          <w:rFonts w:ascii="Times New Roman" w:cs="Times New Roman" w:eastAsia="Times New Roman" w:hAnsi="Times New Roman"/>
          <w:sz w:val="20"/>
          <w:szCs w:val="20"/>
          <w:color w:val="auto"/>
        </w:rPr>
        <w:t>The RSUs will be issued for no consideration which means Participant will not have to pay anything to receive the RSUs or the underlying Shares. However the Australian dollar equivalent of the current published market price of the underlying Shares subject to the RSUs may be determined by reference to the daily exchange rate published by the Reserve Bank of Australia on the relevant date. Note that the exchange rate may fluctuate, and the Australian dollar equivalent of the current market price of a Share on a given date will depend on the then-current U.S. dollar/Australian dollar exchange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of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AUSTRALIA ANNEX A-1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|US-DOCS\146391273.5||</w:t>
      </w:r>
    </w:p>
    <w:p>
      <w:pPr>
        <w:sectPr>
          <w:pgSz w:w="11900" w:h="16838" w:orient="portrait"/>
          <w:cols w:equalWidth="0" w:num="1">
            <w:col w:w="11240"/>
          </w:cols>
          <w:pgMar w:left="320" w:top="1409" w:right="339" w:bottom="1440" w:gutter="0" w:footer="0" w:header="0"/>
        </w:sectPr>
      </w:pPr>
    </w:p>
    <w:bookmarkStart w:id="223" w:name="page224"/>
    <w:bookmarkEnd w:id="223"/>
    <w:p>
      <w:pPr>
        <w:jc w:val="both"/>
        <w:ind w:firstLine="200"/>
        <w:spacing w:after="0" w:line="261" w:lineRule="auto"/>
        <w:rPr>
          <w:sz w:val="20"/>
          <w:szCs w:val="20"/>
          <w:color w:val="auto"/>
        </w:rPr>
      </w:pPr>
      <w:r>
        <w:rPr>
          <w:rFonts w:ascii="Times New Roman" w:cs="Times New Roman" w:eastAsia="Times New Roman" w:hAnsi="Times New Roman"/>
          <w:sz w:val="20"/>
          <w:szCs w:val="20"/>
          <w:color w:val="auto"/>
        </w:rPr>
        <w:t>Participation in the Plan and acquiring Shares in the Company carries inherent risks. These risks include the possibility of fluctuations (and decrease) in the price of the Shares in relation to Company performance, as well as general market performance. Participant should carefully consider these risks in light of Participant’s investment objectives and personal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Form of Settlement</w:t>
      </w:r>
    </w:p>
    <w:p>
      <w:pPr>
        <w:spacing w:after="0" w:line="220" w:lineRule="exact"/>
        <w:rPr>
          <w:sz w:val="20"/>
          <w:szCs w:val="20"/>
          <w:color w:val="auto"/>
        </w:rPr>
      </w:pPr>
    </w:p>
    <w:p>
      <w:pPr>
        <w:jc w:val="both"/>
        <w:ind w:right="20" w:firstLine="244"/>
        <w:spacing w:after="0" w:line="283" w:lineRule="auto"/>
        <w:rPr>
          <w:sz w:val="20"/>
          <w:szCs w:val="20"/>
          <w:color w:val="auto"/>
        </w:rPr>
      </w:pPr>
      <w:r>
        <w:rPr>
          <w:rFonts w:ascii="Times New Roman" w:cs="Times New Roman" w:eastAsia="Times New Roman" w:hAnsi="Times New Roman"/>
          <w:sz w:val="20"/>
          <w:szCs w:val="20"/>
          <w:color w:val="auto"/>
        </w:rPr>
        <w:t>RSUs granted to employees resident in Australia will be satisfied in Shares only. In no circumstances will cash be paid to satisfy any of such RSUs or Shares following vesting, notwithstanding any discretion contained in the Plan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0"/>
          <w:szCs w:val="20"/>
          <w:b w:val="1"/>
          <w:bCs w:val="1"/>
          <w:u w:val="single" w:color="auto"/>
          <w:color w:val="auto"/>
        </w:rPr>
        <w:t>Statement under Section 83A-105 of the Income Tax Assessment Act 1997 (Cth)</w:t>
      </w:r>
    </w:p>
    <w:p>
      <w:pPr>
        <w:spacing w:after="0" w:line="229" w:lineRule="exact"/>
        <w:rPr>
          <w:sz w:val="20"/>
          <w:szCs w:val="20"/>
          <w:color w:val="auto"/>
        </w:rPr>
      </w:pPr>
    </w:p>
    <w:p>
      <w:pPr>
        <w:jc w:val="both"/>
        <w:ind w:firstLine="338"/>
        <w:spacing w:after="0" w:line="263" w:lineRule="auto"/>
        <w:rPr>
          <w:sz w:val="20"/>
          <w:szCs w:val="20"/>
          <w:color w:val="auto"/>
        </w:rPr>
      </w:pPr>
      <w:r>
        <w:rPr>
          <w:rFonts w:ascii="Times New Roman" w:cs="Times New Roman" w:eastAsia="Times New Roman" w:hAnsi="Times New Roman"/>
          <w:sz w:val="20"/>
          <w:szCs w:val="20"/>
          <w:color w:val="auto"/>
        </w:rPr>
        <w:t>Subdivision 83A-C of the Income Tax Assessment Act 1997 (Cth) (the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applies to the Plan and these RSUs, subject to the requirements of the Act. Broadly speaking when a participant acquires a right to Shares under the Act, his or her assessable income includes any “discount” (compared to market value) given in relation to the right to Shares.</w:t>
      </w:r>
    </w:p>
    <w:p>
      <w:pPr>
        <w:spacing w:after="0" w:line="166" w:lineRule="exact"/>
        <w:rPr>
          <w:sz w:val="20"/>
          <w:szCs w:val="20"/>
          <w:color w:val="auto"/>
        </w:rPr>
      </w:pPr>
    </w:p>
    <w:p>
      <w:pPr>
        <w:jc w:val="both"/>
        <w:ind w:firstLine="205"/>
        <w:spacing w:after="0" w:line="253" w:lineRule="auto"/>
        <w:rPr>
          <w:sz w:val="20"/>
          <w:szCs w:val="20"/>
          <w:color w:val="auto"/>
        </w:rPr>
      </w:pPr>
      <w:r>
        <w:rPr>
          <w:rFonts w:ascii="Times New Roman" w:cs="Times New Roman" w:eastAsia="Times New Roman" w:hAnsi="Times New Roman"/>
          <w:sz w:val="20"/>
          <w:szCs w:val="20"/>
          <w:color w:val="auto"/>
        </w:rPr>
        <w:t>In this situation the exact number of Shares Participant will be entitled to will not be determined until the RSUs vest. That means there is a real risk that, under the conditions of the Plan, Participant will forfeit or lose his or her RSUs (other than by disposing of it, exercising it or letting them lapse) (“</w:t>
      </w:r>
      <w:r>
        <w:rPr>
          <w:rFonts w:ascii="Times New Roman" w:cs="Times New Roman" w:eastAsia="Times New Roman" w:hAnsi="Times New Roman"/>
          <w:sz w:val="20"/>
          <w:szCs w:val="20"/>
          <w:b w:val="1"/>
          <w:bCs w:val="1"/>
          <w:i w:val="1"/>
          <w:iCs w:val="1"/>
          <w:color w:val="auto"/>
        </w:rPr>
        <w:t>real risk of forfeiture or RROF</w:t>
      </w:r>
      <w:r>
        <w:rPr>
          <w:rFonts w:ascii="Times New Roman" w:cs="Times New Roman" w:eastAsia="Times New Roman" w:hAnsi="Times New Roman"/>
          <w:sz w:val="20"/>
          <w:szCs w:val="20"/>
          <w:color w:val="auto"/>
        </w:rPr>
        <w:t>”). Based on current Australian Tax Office guidance, the Company believes that the condition requiring Participant to have been continuously employed by the Company or a Related Entity from the date on which the RSU is granted to Participant to the date of vesting (inclusive) will satisfy the real risk of forfeiture test. Accordingly, it is intended for income tax in relation to the RSUs to be deferred until they vest, unless Participant’s employment terminates for any reason prior to exercise. If dealing in Shares acquired is further restricted, the taxing point may be deferred further. However, the Company is not providing tax advice, and Participant should consult his or her personal advisor for the precise tax treatment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0"/>
          <w:szCs w:val="20"/>
          <w:b w:val="1"/>
          <w:bCs w:val="1"/>
          <w:color w:val="auto"/>
        </w:rPr>
        <w:t>Exhibit 10.6.10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40575" cy="6261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71405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Capitalized terms not specifically defined in this Performance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Performance Stock Units described in this Grant Notice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xml:space="preserve">”), subject to the terms and conditions of the Plan and the Performance Stock Unit Agreement attached hereto as </w:t>
      </w:r>
      <w:r>
        <w:rPr>
          <w:rFonts w:ascii="Times New Roman" w:cs="Times New Roman" w:eastAsia="Times New Roman" w:hAnsi="Times New Roman"/>
          <w:sz w:val="20"/>
          <w:szCs w:val="20"/>
          <w:b w:val="1"/>
          <w:bCs w:val="1"/>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Each PSU is hereby granted in tandem with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corresponding dividend equivalent to the extent a portion of such PSU is vested, as further described in Article III of the Agreement (the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4" w:right="339" w:bottom="1440" w:gutter="0" w:footer="0" w:header="0"/>
        </w:sect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Number of PSUs: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[Insert Participant Name]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[Insert Grant Date]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[Insert Number of PSUs]</w:t>
      </w:r>
    </w:p>
    <w:p>
      <w:pPr>
        <w:spacing w:after="0" w:line="27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 xml:space="preserve">Subject to the terms of the Performance Stock Unit Agreement, the PSUs shall vest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Grant Notice.</w:t>
      </w:r>
    </w:p>
    <w:p>
      <w:pPr>
        <w:spacing w:after="0" w:line="200" w:lineRule="exact"/>
        <w:rPr>
          <w:sz w:val="20"/>
          <w:szCs w:val="20"/>
          <w:color w:val="auto"/>
        </w:rPr>
      </w:pPr>
    </w:p>
    <w:p>
      <w:pPr>
        <w:sectPr>
          <w:pgSz w:w="11900" w:h="16838" w:orient="portrait"/>
          <w:cols w:equalWidth="0" w:num="2">
            <w:col w:w="3720" w:space="720"/>
            <w:col w:w="6800"/>
          </w:cols>
          <w:pgMar w:left="320" w:top="114" w:right="339" w:bottom="1440" w:gutter="0" w:footer="0" w:header="0"/>
          <w:type w:val="continuous"/>
        </w:sectPr>
      </w:pPr>
    </w:p>
    <w:p>
      <w:pPr>
        <w:spacing w:after="0" w:line="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4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480"/>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-8255</wp:posOffset>
            </wp:positionV>
            <wp:extent cx="1257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|US-DOCS\155991004.1||</w:t>
      </w:r>
    </w:p>
    <w:p>
      <w:pPr>
        <w:sectPr>
          <w:pgSz w:w="11900" w:h="16838" w:orient="portrait"/>
          <w:cols w:equalWidth="0" w:num="1">
            <w:col w:w="11240"/>
          </w:cols>
          <w:pgMar w:left="320" w:top="114" w:right="339" w:bottom="1440" w:gutter="0" w:footer="0" w:header="0"/>
          <w:type w:val="continuous"/>
        </w:sectPr>
      </w:pPr>
    </w:p>
    <w:bookmarkStart w:id="226" w:name="page227"/>
    <w:bookmarkEnd w:id="226"/>
    <w:p>
      <w:pPr>
        <w:spacing w:after="0" w:line="41"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5715</wp:posOffset>
            </wp:positionV>
            <wp:extent cx="1257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5715</wp:posOffset>
            </wp:positionV>
            <wp:extent cx="1257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5715</wp:posOffset>
            </wp:positionV>
            <wp:extent cx="1257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019"/>
          </w:cols>
          <w:pgMar w:left="440" w:top="1440" w:right="1440" w:bottom="1440" w:gutter="0" w:footer="0" w:header="0"/>
        </w:sectPr>
      </w:pPr>
    </w:p>
    <w:bookmarkStart w:id="227" w:name="page228"/>
    <w:bookmarkEnd w:id="22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PSUs and Dividend Equivalents</w:t>
      </w:r>
      <w:r>
        <w:rPr>
          <w:rFonts w:ascii="Times New Roman" w:cs="Times New Roman" w:eastAsia="Times New Roman" w:hAnsi="Times New Roman"/>
          <w:sz w:val="20"/>
          <w:szCs w:val="20"/>
          <w:color w:val="auto"/>
        </w:rPr>
        <w:t>. The Company has granted the PSUs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PSU represents the right to receive one Share, as set forth in this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PSUs have vested. Each vested portion of the PSU has a corresponding Dividend Equivalent as described in Article III.</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PSUs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PSUs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w:t>
      </w:r>
    </w:p>
    <w:p>
      <w:pPr>
        <w:jc w:val="both"/>
        <w:spacing w:after="0" w:line="215" w:lineRule="auto"/>
        <w:rPr>
          <w:sz w:val="20"/>
          <w:szCs w:val="20"/>
          <w:color w:val="auto"/>
        </w:rPr>
      </w:pPr>
      <w:r>
        <w:rPr>
          <w:rFonts w:ascii="Times New Roman" w:cs="Times New Roman" w:eastAsia="Times New Roman" w:hAnsi="Times New Roman"/>
          <w:sz w:val="19"/>
          <w:szCs w:val="19"/>
          <w:color w:val="auto"/>
        </w:rPr>
        <w:t>Except as provided in the Grant Notice, in the event of Participant’s Termination of Service for any reason, all unvested PSUs and any unpaid Dividend Equivalents will immediately and automatically be cancelled and forfeited, except as otherwise determined by the Administrator or</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provided in a binding written agreement between Participant and the Company. Unless and until the PSUs have vested in accordance with the Vesting Schedule set forth in the Grant Notice, Participant will have no right to any distribution with respect to such PSUs.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PSUs (including any PSUs credited as Dividend Equivalents) will be paid in Shares as soon as administratively practicable after the vesting of the applicable PSU, but in no event more than sixty days after the applicable vesting date. Neither the time nor form of distribution of Shares with respect to the PSUs may be changed, except as may be permitted by the Administrator in accordance with the Plan and Section 409A of the Code and the Treasury Regulations thereunder.</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time nor form of distribution of Shares with respect to the PSUs or the Dividend Equivalents may be changed, except as may be permitted by the Administrator in accordance with the Plan and Section 409A of the Code and the Treasury Regulations thereunder.</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pacing w:after="0" w:line="18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Award of Dividend Equivalents</w:t>
      </w:r>
      <w:r>
        <w:rPr>
          <w:rFonts w:ascii="Times New Roman" w:cs="Times New Roman" w:eastAsia="Times New Roman" w:hAnsi="Times New Roman"/>
          <w:sz w:val="20"/>
          <w:szCs w:val="20"/>
          <w:color w:val="auto"/>
        </w:rPr>
        <w:t>. To the extent a portion of a PSU has vested, but such vested portion of such PSU has not yet settled pursuant to Section 2.2, such vested portion of such PSU granted hereunder is hereby granted in tandem with a corresponding Dividend Equivalent, which</w:t>
      </w:r>
    </w:p>
    <w:p>
      <w:pPr>
        <w:sectPr>
          <w:pgSz w:w="11900" w:h="16838" w:orient="portrait"/>
          <w:cols w:equalWidth="0" w:num="1">
            <w:col w:w="11240"/>
          </w:cols>
          <w:pgMar w:left="320" w:top="140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9"/>
          <w:szCs w:val="19"/>
          <w:color w:val="auto"/>
        </w:rPr>
        <w:t>Dividend Equivalent shall remain outstanding from such date of vesting until the earlier of the settlement or forfeiture of the PSU to which it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corresponds. Pursuant to each outstanding Dividend Equivalent, Participant shall be entitled to receive additional PSUs (or cash as set forth in Section 3.4) equal to the value of any dividends, if any, that Participant would have received in respect of the Share underlying the PSU to</w:t>
      </w:r>
    </w:p>
    <w:p>
      <w:pPr>
        <w:spacing w:after="0"/>
        <w:rPr>
          <w:sz w:val="20"/>
          <w:szCs w:val="20"/>
          <w:color w:val="auto"/>
        </w:rPr>
      </w:pPr>
      <w:r>
        <w:rPr>
          <w:rFonts w:ascii="Times New Roman" w:cs="Times New Roman" w:eastAsia="Times New Roman" w:hAnsi="Times New Roman"/>
          <w:sz w:val="20"/>
          <w:szCs w:val="20"/>
          <w:color w:val="auto"/>
        </w:rPr>
        <w:t>which such Dividend Equivalent relates, had such Share been outstanding on the applicable dividend record date.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PSUs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189" w:lineRule="exact"/>
        <w:rPr>
          <w:sz w:val="20"/>
          <w:szCs w:val="20"/>
          <w:color w:val="auto"/>
        </w:rPr>
      </w:pPr>
    </w:p>
    <w:p>
      <w:pPr>
        <w:jc w:val="both"/>
        <w:ind w:firstLine="1304"/>
        <w:spacing w:after="0" w:line="258" w:lineRule="auto"/>
        <w:tabs>
          <w:tab w:leader="none" w:pos="185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PSUs equal to the quotient of (i) the total number of vested PSUs subject to this Award but not yet distributed, multiplied by the per Share dollar amount of such dividend, divided by (ii) the Fair Market Value of a Share on the date such dividend is paid;</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PSUs equal to the product of (i) the total number of vested PSUs subject to this Award but not yet distributed, multiplied by (ii) the number of Shares distributed with respect to such dividend per Share; or</w:t>
      </w:r>
    </w:p>
    <w:p>
      <w:pPr>
        <w:spacing w:after="0" w:line="19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PSUs subject to this Award but not yet distributed, as determined in the sole discretion of the Administrator.</w:t>
      </w:r>
    </w:p>
    <w:p>
      <w:pPr>
        <w:spacing w:after="0" w:line="18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PSUs Subject to Same Terms</w:t>
      </w:r>
      <w:r>
        <w:rPr>
          <w:rFonts w:ascii="Times New Roman" w:cs="Times New Roman" w:eastAsia="Times New Roman" w:hAnsi="Times New Roman"/>
          <w:sz w:val="20"/>
          <w:szCs w:val="20"/>
          <w:color w:val="auto"/>
        </w:rPr>
        <w:t>. To the extent that any additional PSUs are credited to Participant in respect of Participant’s Dividend Equivalent rights, such additional PSUs shall be subject to the same terms as the original PSUs to which they relate.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PSU to which such Dividend Equivalent right corresponds or (ii) the delivery to Participant of payment for the PSU (in accordance with Section 2.2 above) to which such Dividend Equivalent right corresponds. For the avoidance of doubt, if a Dividend Equivalent right terminates after the applicable record date for a Company dividend (other than due to the forfeiture of the PSU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PSUs to be paid in Shares) within thirty days following the applicable dividend payment date. Further, if no dividend (or dividend record date) is declared by the Board prior to the date of forfeiture or date of settlement of the PSU to which such Dividend Equivalent right corresponds, such Dividend Equivalent right shall automatically be cancelled on such forfeiture date or settlement date.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Dividend Equivalent rights and any amounts that may become distributable in respect thereof shall be treated separately from the PSUs and the rights arising in connection therewith for purposes of the designation of time and form of payments required by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9" w:right="339" w:bottom="1440" w:gutter="0" w:footer="0" w:header="0"/>
        </w:sectPr>
      </w:pPr>
    </w:p>
    <w:bookmarkStart w:id="229" w:name="page230"/>
    <w:bookmarkEnd w:id="229"/>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p>
    <w:p>
      <w:pPr>
        <w:spacing w:after="0" w:line="189" w:lineRule="exact"/>
        <w:rPr>
          <w:sz w:val="20"/>
          <w:szCs w:val="20"/>
          <w:color w:val="auto"/>
        </w:rPr>
      </w:pPr>
    </w:p>
    <w:p>
      <w:pPr>
        <w:jc w:val="both"/>
        <w:ind w:firstLine="1304"/>
        <w:spacing w:after="0" w:line="231" w:lineRule="auto"/>
        <w:tabs>
          <w:tab w:leader="none" w:pos="1934"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PSUs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the Dividend Equivalents, the distribution of the Shares issuable with respect thereto, or any other taxable event related to the PSUs or the Dividend Equivalents (the “</w:t>
      </w:r>
      <w:r>
        <w:rPr>
          <w:rFonts w:ascii="Times New Roman" w:cs="Times New Roman" w:eastAsia="Times New Roman" w:hAnsi="Times New Roman"/>
          <w:sz w:val="19"/>
          <w:szCs w:val="19"/>
          <w:b w:val="1"/>
          <w:bCs w:val="1"/>
          <w:i w:val="1"/>
          <w:iCs w:val="1"/>
          <w:color w:val="auto"/>
        </w:rPr>
        <w:t>Tax Withholding Obligation</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firstLine="1304"/>
        <w:spacing w:after="0" w:line="218" w:lineRule="auto"/>
        <w:tabs>
          <w:tab w:leader="none" w:pos="193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Participant elects to satisfy the Tax Withholding Obligation by some other means in accordance with Section 9.5 of the Plan, Participant’s acceptance of this Award constitutes Participant’s instruction and authorization to the Company to, and the Company shall, with respect to the Tax Withholding Obligation arising as a result of the vesting or distribution of the PSUs (including additional PSUs granted pursuant to Section 3.2), withhold a net number of vested Shares otherwise issuable pursuant to the PSUs having a then-current Fair Market Value not exceeding the amount necessary to satisfy the Tax Withholding Obligation of the Company and its Related Entities with respect to the vesting or distribution of the PSUs.</w:t>
      </w:r>
    </w:p>
    <w:p>
      <w:pPr>
        <w:spacing w:after="0" w:line="15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20"/>
          <w:szCs w:val="20"/>
          <w:b w:val="1"/>
          <w:bCs w:val="1"/>
          <w:i w:val="1"/>
          <w:iCs w:val="1"/>
          <w:color w:val="auto"/>
        </w:rPr>
        <w:t>Applicable Tax Withholding Rate</w:t>
      </w:r>
      <w:r>
        <w:rPr>
          <w:rFonts w:ascii="Times New Roman" w:cs="Times New Roman" w:eastAsia="Times New Roman" w:hAnsi="Times New Roman"/>
          <w:sz w:val="20"/>
          <w:szCs w:val="20"/>
          <w:color w:val="auto"/>
        </w:rPr>
        <w:t xml:space="preserve">” shall mean (i) if Participant is subject to Section 16 of the Exchange Act, the greater of (A) the minimum applicable statutory tax withholding rate or (B) with Participant’s consent, the maximum individual tax withholding rate permitted under the rules of the applicable taxing authority for tax withholding attributable to the underlying transaction, or (ii) if Participant is not subject to Section 16 of the Exchange Act, the minimum applicable statutory tax withholding rate or such other higher rate approved by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in no event shall Participant’s Applicable Tax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PSUs and Dividend Equivalents under generally accepted accounting principles.</w:t>
      </w:r>
    </w:p>
    <w:p>
      <w:pPr>
        <w:spacing w:after="0" w:line="165"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PSUs and the Dividend Equivalents, regardless of any action the Company or any Related Entity takes with respect to any Tax Withholding Obligations that arise in connection with the PSUs and the Dividend Equivalents. Neither the Company nor any Related Entity makes any representation or undertaking regarding the tax treatment to Participant in connection with the awarding, vesting or payment of the PSUs and the Dividend Equivalents or the subsequent sale of Shares. The Company and the Related Entities do not commit and are under no obligation to structure the PSUs and the Dividend Equivalents to reduce or eliminate Participant’s tax liability.</w:t>
      </w:r>
    </w:p>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394" w:right="339" w:bottom="1440" w:gutter="0" w:footer="0" w:header="0"/>
        </w:sectPr>
      </w:pPr>
    </w:p>
    <w:bookmarkStart w:id="230" w:name="page231"/>
    <w:bookmarkEnd w:id="23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By executing this Agreement and accepting this Award, Participant agrees that all compensation</w:t>
      </w:r>
    </w:p>
    <w:p>
      <w:pPr>
        <w:spacing w:after="0" w:line="204" w:lineRule="auto"/>
        <w:rPr>
          <w:sz w:val="20"/>
          <w:szCs w:val="20"/>
          <w:color w:val="auto"/>
        </w:rPr>
      </w:pPr>
      <w:r>
        <w:rPr>
          <w:rFonts w:ascii="Times New Roman" w:cs="Times New Roman" w:eastAsia="Times New Roman" w:hAnsi="Times New Roman"/>
          <w:sz w:val="20"/>
          <w:szCs w:val="20"/>
          <w:color w:val="auto"/>
        </w:rPr>
        <w:t>received by Participant, including Awards under the Plan, may be subject to reduction, cancellation, forfeiture and/or recoupment to the extent necessary to comply with the provisions of any clawback policy implemented by the Company, including, without limitation, the</w:t>
      </w:r>
    </w:p>
    <w:p>
      <w:pPr>
        <w:spacing w:after="0" w:line="211" w:lineRule="auto"/>
        <w:rPr>
          <w:sz w:val="20"/>
          <w:szCs w:val="20"/>
          <w:color w:val="auto"/>
        </w:rPr>
      </w:pPr>
      <w:r>
        <w:rPr>
          <w:rFonts w:ascii="Times New Roman" w:cs="Times New Roman" w:eastAsia="Times New Roman" w:hAnsi="Times New Roman"/>
          <w:sz w:val="20"/>
          <w:szCs w:val="20"/>
          <w:color w:val="auto"/>
        </w:rPr>
        <w:t>Company’s Policy for Recovery of Erroneously Awarded Compensation and any clawback policy adopted to comply with applicable law</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(including the Dodd-Frank Wall Street Reform and Consumer Protection Act and any rules or regulations promulgated thereunder) (collectively, the “</w:t>
      </w:r>
      <w:r>
        <w:rPr>
          <w:rFonts w:ascii="Times New Roman" w:cs="Times New Roman" w:eastAsia="Times New Roman" w:hAnsi="Times New Roman"/>
          <w:sz w:val="19"/>
          <w:szCs w:val="19"/>
          <w:b w:val="1"/>
          <w:bCs w:val="1"/>
          <w:i w:val="1"/>
          <w:iCs w:val="1"/>
          <w:color w:val="auto"/>
        </w:rPr>
        <w:t>Recovery Arrangements</w:t>
      </w:r>
      <w:r>
        <w:rPr>
          <w:rFonts w:ascii="Times New Roman" w:cs="Times New Roman" w:eastAsia="Times New Roman" w:hAnsi="Times New Roman"/>
          <w:sz w:val="19"/>
          <w:szCs w:val="19"/>
          <w:color w:val="auto"/>
        </w:rPr>
        <w:t>”) and Section 10.14 of the Plan, notwithstanding any other agreement to the contrary. Participant</w:t>
      </w:r>
    </w:p>
    <w:p>
      <w:pPr>
        <w:spacing w:after="0" w:line="228" w:lineRule="auto"/>
        <w:rPr>
          <w:sz w:val="20"/>
          <w:szCs w:val="20"/>
          <w:color w:val="auto"/>
        </w:rPr>
      </w:pPr>
      <w:r>
        <w:rPr>
          <w:rFonts w:ascii="Times New Roman" w:cs="Times New Roman" w:eastAsia="Times New Roman" w:hAnsi="Times New Roman"/>
          <w:sz w:val="20"/>
          <w:szCs w:val="20"/>
          <w:color w:val="auto"/>
        </w:rPr>
        <w:t>agrees that Participant is not entitled to indemnification in connection with any enforcement of the Recovery Arrangements and expressly waives any rights to such indemnification under the Company’s organizational documents or otherwise.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89" w:lineRule="exact"/>
        <w:rPr>
          <w:sz w:val="20"/>
          <w:szCs w:val="20"/>
          <w:color w:val="auto"/>
        </w:rPr>
      </w:pPr>
    </w:p>
    <w:p>
      <w:pPr>
        <w:jc w:val="both"/>
        <w:ind w:firstLine="1304"/>
        <w:spacing w:after="0" w:line="226" w:lineRule="auto"/>
        <w:tabs>
          <w:tab w:leader="none" w:pos="193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5.2,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PSUs, the Dividend Equivalents and the Shares issuable with respect thereto are subject to adjustment, modification and termination in certain events as provided in this Agreement and the Plan.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spacing w:after="0" w:line="204"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23"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spacing w:after="0" w:line="204"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when delivered by a nationally recognized express shipping company or upon receipt of a facsimile transmission confirmation.</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conform to Applicable Laws.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4"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will be binding upon and inure to the benefit of the heirs, legatees, legal representatives, successors and assigns of the parties hereto.</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w:t>
      </w:r>
    </w:p>
    <w:p>
      <w:pPr>
        <w:spacing w:after="0" w:line="212" w:lineRule="auto"/>
        <w:rPr>
          <w:sz w:val="20"/>
          <w:szCs w:val="20"/>
          <w:color w:val="auto"/>
        </w:rPr>
      </w:pPr>
      <w:r>
        <w:rPr>
          <w:rFonts w:ascii="Times New Roman" w:cs="Times New Roman" w:eastAsia="Times New Roman" w:hAnsi="Times New Roman"/>
          <w:sz w:val="20"/>
          <w:szCs w:val="20"/>
          <w:color w:val="auto"/>
        </w:rPr>
        <w:t>the subject matter hereof , including without limitation, the provisions of any employment agreement or offer letter regarding equity awards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be awarded to Participant by the Company, or any other oral, implied or written promises, statements, understandings, undertakings or agreements by the Company or any of its representatives regarding equity awards to be awarded to Participant by the Company. Participant</w:t>
      </w:r>
    </w:p>
    <w:p>
      <w:pPr>
        <w:spacing w:after="0" w:line="211" w:lineRule="auto"/>
        <w:rPr>
          <w:sz w:val="20"/>
          <w:szCs w:val="20"/>
          <w:color w:val="auto"/>
        </w:rPr>
      </w:pPr>
      <w:r>
        <w:rPr>
          <w:rFonts w:ascii="Times New Roman" w:cs="Times New Roman" w:eastAsia="Times New Roman" w:hAnsi="Times New Roman"/>
          <w:sz w:val="20"/>
          <w:szCs w:val="20"/>
          <w:color w:val="auto"/>
        </w:rPr>
        <w:t>hereby agrees to execute such further instruments and to take such further action as the Company requests to carry out the purposes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intent of this Agreement and the Plan, including, without limitation, restrictions on the transferability of the Shares. This Agreement may not be amended without the written consent of Participant and an authorized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-147955</wp:posOffset>
            </wp:positionV>
            <wp:extent cx="311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u w:val="single" w:color="auto"/>
          <w:color w:val="auto"/>
        </w:rPr>
        <w:t>Limitation on Participant’s Rights</w:t>
      </w:r>
      <w:r>
        <w:rPr>
          <w:rFonts w:ascii="Times New Roman" w:cs="Times New Roman" w:eastAsia="Times New Roman" w:hAnsi="Times New Roman"/>
          <w:sz w:val="19"/>
          <w:szCs w:val="19"/>
          <w:color w:val="auto"/>
        </w:rPr>
        <w:t>. Participation in the Plan confers no rights or interests other than as herein provided. This</w:t>
      </w:r>
    </w:p>
    <w:p>
      <w:pPr>
        <w:spacing w:after="0" w:line="215"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211" w:lineRule="auto"/>
        <w:rPr>
          <w:sz w:val="20"/>
          <w:szCs w:val="20"/>
          <w:color w:val="auto"/>
        </w:rPr>
      </w:pPr>
      <w:r>
        <w:rPr>
          <w:rFonts w:ascii="Times New Roman" w:cs="Times New Roman" w:eastAsia="Times New Roman" w:hAnsi="Times New Roman"/>
          <w:sz w:val="20"/>
          <w:szCs w:val="20"/>
          <w:color w:val="auto"/>
        </w:rPr>
        <w:t>creditor of the Company with respect to amounts credited and benefits payable, if any, with respect to the PSUs and the Dividend</w:t>
      </w:r>
    </w:p>
    <w:p>
      <w:pPr>
        <w:spacing w:after="0" w:line="221" w:lineRule="auto"/>
        <w:rPr>
          <w:sz w:val="20"/>
          <w:szCs w:val="20"/>
          <w:color w:val="auto"/>
        </w:rPr>
      </w:pPr>
      <w:r>
        <w:rPr>
          <w:rFonts w:ascii="Times New Roman" w:cs="Times New Roman" w:eastAsia="Times New Roman" w:hAnsi="Times New Roman"/>
          <w:sz w:val="20"/>
          <w:szCs w:val="20"/>
          <w:color w:val="auto"/>
        </w:rPr>
        <w:t>Equivalents, and rights no greater than the right to receive the Shares as a general unsecured creditor with respect to the PSUs and the Dividend Equivalents, as and when settled pursuant to the terms of this Agreement.</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w:t>
      </w:r>
    </w:p>
    <w:p>
      <w:pPr>
        <w:spacing w:after="0" w:line="212" w:lineRule="auto"/>
        <w:rPr>
          <w:sz w:val="20"/>
          <w:szCs w:val="20"/>
          <w:color w:val="auto"/>
        </w:rPr>
      </w:pPr>
      <w:r>
        <w:rPr>
          <w:rFonts w:ascii="Times New Roman" w:cs="Times New Roman" w:eastAsia="Times New Roman" w:hAnsi="Times New Roman"/>
          <w:sz w:val="20"/>
          <w:szCs w:val="20"/>
          <w:color w:val="auto"/>
        </w:rPr>
        <w:t>Shares (which may be in book-entry form) will have been issued and recorded on the records of the Company or its transfer agents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registrars, and delivered to Participant (including through electronic delivery to a brokerage account). Except as otherwise provided herein, after such issuance, recordation and delivery, Participant will have all the rights of a stockholder of the Company with respect to such Shares,</w:t>
      </w:r>
    </w:p>
    <w:p>
      <w:pPr>
        <w:spacing w:after="0" w:line="228" w:lineRule="auto"/>
        <w:rPr>
          <w:sz w:val="20"/>
          <w:szCs w:val="20"/>
          <w:color w:val="auto"/>
        </w:rPr>
      </w:pPr>
      <w:r>
        <w:rPr>
          <w:rFonts w:ascii="Times New Roman" w:cs="Times New Roman" w:eastAsia="Times New Roman" w:hAnsi="Times New Roman"/>
          <w:sz w:val="20"/>
          <w:szCs w:val="20"/>
          <w:color w:val="auto"/>
        </w:rPr>
        <w:t>including, without limitation, the right to receipt of dividends and distributions on such Shares. The issuance of Shares under this Award to Participant shall be subject to Participant’s satisfaction of the conditions under Section 10.14 of the Plan.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Related Entity or interferes with or restricts in any way the rights of the Company</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and its Related Entities, which rights are hereby expressly reserved, to discharge or terminate the services of Participant at any time for any reason whatsoever, with or without Cause, except to the extent expressly provided otherwise in a written agreement between the Company or</w:t>
      </w:r>
    </w:p>
    <w:p>
      <w:pPr>
        <w:spacing w:after="0"/>
        <w:rPr>
          <w:sz w:val="20"/>
          <w:szCs w:val="20"/>
          <w:color w:val="auto"/>
        </w:rPr>
      </w:pPr>
      <w:r>
        <w:rPr>
          <w:rFonts w:ascii="Times New Roman" w:cs="Times New Roman" w:eastAsia="Times New Roman" w:hAnsi="Times New Roman"/>
          <w:sz w:val="20"/>
          <w:szCs w:val="20"/>
          <w:color w:val="auto"/>
        </w:rPr>
        <w:t>a Related Entity and Participant.</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864"/>
        <w:spacing w:after="0" w:line="261" w:lineRule="auto"/>
        <w:tabs>
          <w:tab w:leader="none" w:pos="128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9" w:right="339" w:bottom="1440" w:gutter="0" w:footer="0" w:header="0"/>
        </w:sectPr>
      </w:pPr>
    </w:p>
    <w:bookmarkStart w:id="232" w:name="page233"/>
    <w:bookmarkEnd w:id="232"/>
    <w:p>
      <w:pPr>
        <w:jc w:val="both"/>
        <w:spacing w:after="0" w:line="260" w:lineRule="auto"/>
        <w:rPr>
          <w:sz w:val="20"/>
          <w:szCs w:val="20"/>
          <w:color w:val="auto"/>
        </w:rPr>
      </w:pPr>
      <w:r>
        <w:rPr>
          <w:rFonts w:ascii="Times New Roman" w:cs="Times New Roman" w:eastAsia="Times New Roman" w:hAnsi="Times New Roman"/>
          <w:sz w:val="20"/>
          <w:szCs w:val="20"/>
          <w:color w:val="auto"/>
        </w:rPr>
        <w:t>limitation any such regulations or other guidance that may be issued after the Grant Date,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The Administrator may, in its discretion, adopt such amendments to the Plan, this Agreement or the Grant Notice or adopt other policies and procedures (including amendments, policies and procedures with retroactive effect), or take any other actions, as the Administrator determines are necessary or appropriate to comply with the requirements of Section 409A.</w:t>
      </w:r>
    </w:p>
    <w:p>
      <w:pPr>
        <w:spacing w:after="0" w:line="168" w:lineRule="exact"/>
        <w:rPr>
          <w:sz w:val="20"/>
          <w:szCs w:val="20"/>
          <w:color w:val="auto"/>
        </w:rPr>
      </w:pPr>
    </w:p>
    <w:p>
      <w:pPr>
        <w:jc w:val="both"/>
        <w:ind w:firstLine="895"/>
        <w:spacing w:after="0" w:line="235" w:lineRule="auto"/>
        <w:tabs>
          <w:tab w:leader="none" w:pos="135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not intended to provide for any deferral of compensation subject to Section 409A, and, accordingly, the Shares issuable pursuant to the PSUs (including PSUs credited as Dividend Equivalents) shall be distributed to Participant, and any payments in respect of Dividend Equivalents shall be paid to Participant, no later than the later of: (A)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Participant’s first taxable year in which such PSUs and/or Dividend Equivalents, as applicable, are no longer subject to a substantial risk of forfeiture, and (B) the fifteenth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of the third month following first taxable year of the Company in which such PSUs and/or Dividend Equivalents, as applicable, are no longer subject to substantial risk of forfeiture, as determined in accordance with Section 409A.</w:t>
      </w:r>
    </w:p>
    <w:p>
      <w:pPr>
        <w:spacing w:after="0" w:line="201" w:lineRule="exact"/>
        <w:rPr>
          <w:rFonts w:ascii="Times New Roman" w:cs="Times New Roman" w:eastAsia="Times New Roman" w:hAnsi="Times New Roman"/>
          <w:sz w:val="20"/>
          <w:szCs w:val="20"/>
          <w:color w:val="auto"/>
        </w:rPr>
      </w:pPr>
    </w:p>
    <w:p>
      <w:pPr>
        <w:ind w:firstLine="915"/>
        <w:spacing w:after="0" w:line="269" w:lineRule="auto"/>
        <w:tabs>
          <w:tab w:leader="none" w:pos="138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409A (including, without limitation, for purposes of Treasury Regulation Section 1.409A-2(b)(2) (iii)), each payment that Participant may be eligible to receive under this Agreement shall be treated as a separate and distinct payment.</w:t>
      </w:r>
    </w:p>
    <w:p>
      <w:pPr>
        <w:spacing w:after="0" w:line="159"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5.16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provisions of the Plan and all Awards made thereunder, including the PSUs and the Dividend Equivalents, shall be governed by and interpreted in accordance with the laws of the State of Delaware, disregarding choice-of-law principles</w:t>
      </w:r>
    </w:p>
    <w:p>
      <w:pPr>
        <w:spacing w:after="0"/>
        <w:rPr>
          <w:sz w:val="20"/>
          <w:szCs w:val="20"/>
          <w:color w:val="auto"/>
        </w:rPr>
      </w:pPr>
      <w:r>
        <w:rPr>
          <w:rFonts w:ascii="Times New Roman" w:cs="Times New Roman" w:eastAsia="Times New Roman" w:hAnsi="Times New Roman"/>
          <w:sz w:val="20"/>
          <w:szCs w:val="20"/>
          <w:color w:val="auto"/>
        </w:rPr>
        <w:t>of the law of any state that would require the application of the laws of a jurisdiction other than such state.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PSUs will be subject to any</w:t>
      </w:r>
    </w:p>
    <w:p>
      <w:pPr>
        <w:spacing w:after="0" w:line="212" w:lineRule="auto"/>
        <w:rPr>
          <w:sz w:val="20"/>
          <w:szCs w:val="20"/>
          <w:color w:val="auto"/>
        </w:rPr>
      </w:pPr>
      <w:r>
        <w:rPr>
          <w:rFonts w:ascii="Times New Roman" w:cs="Times New Roman" w:eastAsia="Times New Roman" w:hAnsi="Times New Roman"/>
          <w:sz w:val="20"/>
          <w:szCs w:val="20"/>
          <w:color w:val="auto"/>
        </w:rPr>
        <w:t>additional limitations set forth in any applicable exemptive rule under Section 16 of the Exchange Act (including any amendment to Rule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w:t>
      </w:r>
    </w:p>
    <w:p>
      <w:pPr>
        <w:spacing w:after="0" w:line="204" w:lineRule="auto"/>
        <w:rPr>
          <w:sz w:val="20"/>
          <w:szCs w:val="20"/>
          <w:color w:val="auto"/>
        </w:rPr>
      </w:pPr>
      <w:r>
        <w:rPr>
          <w:rFonts w:ascii="Times New Roman" w:cs="Times New Roman" w:eastAsia="Times New Roman" w:hAnsi="Times New Roman"/>
          <w:sz w:val="20"/>
          <w:szCs w:val="20"/>
          <w:color w:val="auto"/>
        </w:rPr>
        <w:t>Participant is subject to Section 16 of the Exchange Act, the Plan, the Grant Notice, this Agreement and the PSUs will be subject to any additional limitations set forth in any applicable exemptive rule under Section 16 of the Exchange Act (including any amendment to Rule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09" w:right="339" w:bottom="1440" w:gutter="0" w:footer="0" w:header="0"/>
        </w:sectPr>
      </w:pPr>
    </w:p>
    <w:bookmarkStart w:id="233" w:name="page234"/>
    <w:bookmarkEnd w:id="233"/>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43"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|US-DOCS\155991004.1||</w:t>
      </w:r>
    </w:p>
    <w:p>
      <w:pPr>
        <w:sectPr>
          <w:pgSz w:w="11900" w:h="16838" w:orient="portrait"/>
          <w:cols w:equalWidth="0" w:num="1">
            <w:col w:w="10139"/>
          </w:cols>
          <w:pgMar w:left="320" w:top="1409" w:right="1440" w:bottom="1440" w:gutter="0" w:footer="0" w:header="0"/>
        </w:sectPr>
      </w:pPr>
    </w:p>
    <w:bookmarkStart w:id="234" w:name="page235"/>
    <w:bookmarkEnd w:id="234"/>
    <w:p>
      <w:pPr>
        <w:ind w:left="9980"/>
        <w:spacing w:after="0"/>
        <w:rPr>
          <w:sz w:val="20"/>
          <w:szCs w:val="20"/>
          <w:color w:val="auto"/>
        </w:rPr>
      </w:pPr>
      <w:r>
        <w:rPr>
          <w:rFonts w:ascii="Times New Roman" w:cs="Times New Roman" w:eastAsia="Times New Roman" w:hAnsi="Times New Roman"/>
          <w:sz w:val="19"/>
          <w:szCs w:val="19"/>
          <w:b w:val="1"/>
          <w:bCs w:val="1"/>
          <w:color w:val="auto"/>
        </w:rPr>
        <w:t>Exhibit 10.6.11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140575" cy="6261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405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PLAYTIKA HOLDING CORP.</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GRANT NOTICE FOR ISRAELI PARTICIPANTS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Capitalized terms not specifically defined in this Performance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2020 Incentive Award Plan and the Sub-Plan for Israeli Participants (the “</w:t>
      </w:r>
      <w:r>
        <w:rPr>
          <w:rFonts w:ascii="Times New Roman" w:cs="Times New Roman" w:eastAsia="Times New Roman" w:hAnsi="Times New Roman"/>
          <w:sz w:val="20"/>
          <w:szCs w:val="20"/>
          <w:b w:val="1"/>
          <w:bCs w:val="1"/>
          <w:i w:val="1"/>
          <w:iCs w:val="1"/>
          <w:color w:val="auto"/>
        </w:rPr>
        <w:t>Sub-Plan</w:t>
      </w:r>
      <w:r>
        <w:rPr>
          <w:rFonts w:ascii="Times New Roman" w:cs="Times New Roman" w:eastAsia="Times New Roman" w:hAnsi="Times New Roman"/>
          <w:sz w:val="20"/>
          <w:szCs w:val="20"/>
          <w:color w:val="auto"/>
        </w:rPr>
        <w:t>,” and jointly with the 2020 Incentive Award Plan, as each may be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except where the context otherwise requires), in each case, of Playtika Holding Corp.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The Company hereby grants to the participant listed below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the Performance Stock Units described in this Grant Notice (the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 xml:space="preserve">”), subject to the terms and conditions of the Plan and the Performance Stock Unit Agreement attached hereto as </w:t>
      </w:r>
      <w:r>
        <w:rPr>
          <w:rFonts w:ascii="Times New Roman" w:cs="Times New Roman" w:eastAsia="Times New Roman" w:hAnsi="Times New Roman"/>
          <w:sz w:val="19"/>
          <w:szCs w:val="19"/>
          <w:b w:val="1"/>
          <w:bCs w:val="1"/>
          <w:color w:val="auto"/>
        </w:rPr>
        <w:t>Exhibit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A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both of which are incorporated into this Grant Notice by reference, Section 102(b) of the ITO and the Rules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promulgated in connection therewith and the Trust Agreement entered into between the Trustee and the Company, a copy of which has been provided to Participant or made available for Participant’s review. Each PSU is hereby granted in tandem with a corresponding dividend equivalent to the extent a portion of such PSU is vested, as further described in Article III of the Agreement (the “</w:t>
      </w:r>
      <w:r>
        <w:rPr>
          <w:rFonts w:ascii="Times New Roman" w:cs="Times New Roman" w:eastAsia="Times New Roman" w:hAnsi="Times New Roman"/>
          <w:sz w:val="19"/>
          <w:szCs w:val="19"/>
          <w:b w:val="1"/>
          <w:bCs w:val="1"/>
          <w:i w:val="1"/>
          <w:iCs w:val="1"/>
          <w:color w:val="auto"/>
        </w:rPr>
        <w:t>Dividend Equivalents</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Number of PSUs:</w:t>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Tax Status: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[Insert Participant Name]</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[Insert Grant Date]</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[Insert Number of PSUs]</w:t>
      </w:r>
    </w:p>
    <w:p>
      <w:pPr>
        <w:spacing w:after="0" w:line="274" w:lineRule="exact"/>
        <w:rPr>
          <w:sz w:val="20"/>
          <w:szCs w:val="20"/>
          <w:color w:val="auto"/>
        </w:rPr>
      </w:pPr>
    </w:p>
    <w:p>
      <w:pPr>
        <w:ind w:left="40" w:right="140"/>
        <w:spacing w:after="0" w:line="281" w:lineRule="auto"/>
        <w:rPr>
          <w:sz w:val="20"/>
          <w:szCs w:val="20"/>
          <w:color w:val="auto"/>
        </w:rPr>
      </w:pPr>
      <w:r>
        <w:rPr>
          <w:rFonts w:ascii="Times New Roman" w:cs="Times New Roman" w:eastAsia="Times New Roman" w:hAnsi="Times New Roman"/>
          <w:sz w:val="20"/>
          <w:szCs w:val="20"/>
          <w:color w:val="auto"/>
        </w:rPr>
        <w:t xml:space="preserve">Subject to the terms of the Performance Stock Unit Agreement, the PSUs shall vest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Grant Notice.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 Capital Gains Track</w:t>
      </w:r>
    </w:p>
    <w:p>
      <w:pPr>
        <w:spacing w:after="0" w:line="200" w:lineRule="exact"/>
        <w:rPr>
          <w:sz w:val="20"/>
          <w:szCs w:val="20"/>
          <w:color w:val="auto"/>
        </w:rPr>
      </w:pPr>
    </w:p>
    <w:p>
      <w:pPr>
        <w:sectPr>
          <w:pgSz w:w="11900" w:h="16838" w:orient="portrait"/>
          <w:cols w:equalWidth="0" w:num="2">
            <w:col w:w="3740" w:space="720"/>
            <w:col w:w="6780"/>
          </w:cols>
          <w:pgMar w:left="320" w:top="100" w:right="339" w:bottom="1440" w:gutter="0" w:footer="0" w:header="0"/>
          <w:type w:val="continuous"/>
        </w:sectPr>
      </w:pPr>
    </w:p>
    <w:p>
      <w:pPr>
        <w:spacing w:after="0" w:line="3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the Company uses an electronic capitalization table system (such as Shareworks) and the fields in this Grant Notice are blank or the information is otherwise provided in a different format electronically, the blank fields and other information shall be deemed to come from the electronic capitalization system and is considered part of this Grant Notice.</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the Agreement, Section 102(b) of the ITO and the Rules promulgated in connection therewith, and the Trust Agreement. In addition, by Participant’s signature below, Participant agrees that the Award shall be issued to the Trustee to hold on Participant’s behalf, pursuant to the terms of the ITO, the Rules and the Trust Agreement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Furthermore, by Participant’s signature below, Participant confirms that the Company, its assignees and successors shall be under no duty to ensure, and no representation or commitment is made, that the Award qualifies or shall qualify under any particular tax treatment such as the “capital gains track” under Section 102, nor shall the Company, its assignees or successors be required to take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459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4" w:lineRule="exact"/>
        <w:rPr>
          <w:sz w:val="20"/>
          <w:szCs w:val="20"/>
          <w:color w:val="auto"/>
        </w:rPr>
      </w:pPr>
    </w:p>
    <w:p>
      <w:pPr>
        <w:jc w:val="both"/>
        <w:ind w:left="140" w:hanging="132"/>
        <w:spacing w:after="0" w:line="231" w:lineRule="auto"/>
        <w:tabs>
          <w:tab w:leader="none" w:pos="137" w:val="left"/>
        </w:tabs>
        <w:numPr>
          <w:ilvl w:val="0"/>
          <w:numId w:val="1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Any reference to issuance of Awards and underlying Shares to the Trustee to be held in Trust for the benefit of the Participant shall mean the supervision of the Trustee on such Awards and underlying Shares, including the application of any tax withholding requirements thereunder, pursuant to a relevant tax ruling to be obtained from the Israeli Tax Authority.</w:t>
      </w:r>
    </w:p>
    <w:p>
      <w:pPr>
        <w:sectPr>
          <w:pgSz w:w="11900" w:h="16838" w:orient="portrait"/>
          <w:cols w:equalWidth="0" w:num="1">
            <w:col w:w="11240"/>
          </w:cols>
          <w:pgMar w:left="320" w:top="100" w:right="339" w:bottom="1440" w:gutter="0" w:footer="0" w:header="0"/>
          <w:type w:val="continuous"/>
        </w:sectPr>
      </w:pPr>
    </w:p>
    <w:bookmarkStart w:id="235" w:name="page236"/>
    <w:bookmarkEnd w:id="235"/>
    <w:p>
      <w:pPr>
        <w:jc w:val="both"/>
        <w:spacing w:after="0" w:line="250" w:lineRule="auto"/>
        <w:rPr>
          <w:sz w:val="20"/>
          <w:szCs w:val="20"/>
          <w:color w:val="auto"/>
        </w:rPr>
      </w:pPr>
      <w:r>
        <w:rPr>
          <w:rFonts w:ascii="Times New Roman" w:cs="Times New Roman" w:eastAsia="Times New Roman" w:hAnsi="Times New Roman"/>
          <w:sz w:val="20"/>
          <w:szCs w:val="20"/>
          <w:color w:val="auto"/>
        </w:rPr>
        <w:t>action for the qualification of any Award under such tax treatment. The Company shall have no liability of any kind or nature in the event that, as a result of Applicable Laws, actions by the Trustee or any position or interpretation of the ITA, or for any other reason whatsoever, an Award shall be deemed not to qualify for any particular tax treatment. Participant has reviewed the Plan, this Grant Notice, the Agreement and the Trust Agreement, in their entirety, has had an opportunity to obtain the advice of counsel prior to executing this Grant Notice and fully understands all provisions of the Plan, this Grant Notice and the Agreement. Participant has been provided with a copy or electronic access to a copy of the prospectus for the Plan. In addition, Participant confirms that he/she is familiar with the terms and provisions of Section 102 of the ITO, particularly the 102 Capital Gains Track described in subsection (b)(2) thereof, and agrees that he/she shall not require the Trustee to release the Award or Shares to him/her, or to sell the Award or Shares to a third party, during the Required Holding Period, as set forth in the Sub-Plan, unless permitted to do so by Applicable Laws. Participant hereby agrees to accept as binding, conclusive and final all decisions or interpretations of the Administrator upon any questions arising under the Plan, this Grant Notice or the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4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PLAYTIKA HOLDING CORP.</w:t>
            </w: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b w:val="1"/>
                <w:bCs w:val="1"/>
                <w:color w:val="auto"/>
                <w:w w:val="95"/>
              </w:rPr>
              <w:t>PARTICIPANT</w:t>
            </w:r>
          </w:p>
        </w:tc>
      </w:tr>
      <w:tr>
        <w:trPr>
          <w:trHeight w:val="480"/>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By:</w:t>
            </w:r>
          </w:p>
        </w:tc>
      </w:tr>
      <w:tr>
        <w:trPr>
          <w:trHeight w:val="479"/>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Print Name:</w:t>
            </w:r>
          </w:p>
        </w:tc>
      </w:tr>
      <w:tr>
        <w:trPr>
          <w:trHeight w:val="480"/>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0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78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ID: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-642620</wp:posOffset>
            </wp:positionV>
            <wp:extent cx="1257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-325120</wp:posOffset>
            </wp:positionV>
            <wp:extent cx="1257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1257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6" w:name="page237"/>
    <w:bookmarkEnd w:id="23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 or in the Sub-Plan.</w:t>
      </w:r>
    </w:p>
    <w:p>
      <w:pPr>
        <w:spacing w:after="0" w:line="1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PSUs and Dividend Equivalents</w:t>
      </w:r>
      <w:r>
        <w:rPr>
          <w:rFonts w:ascii="Times New Roman" w:cs="Times New Roman" w:eastAsia="Times New Roman" w:hAnsi="Times New Roman"/>
          <w:sz w:val="20"/>
          <w:szCs w:val="20"/>
          <w:color w:val="auto"/>
        </w:rPr>
        <w:t>. The Company has granted the PSUs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PSU represents the right to receive one Share, as set forth in this Agreement.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Participant will have no right to the distribution of any Shares until the time (if ever) the PSUs have vested. Each vested portion of the PSU has a corresponding Dividend Equivalent as described in Article III.</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PSUs and the Dividend Equivalents are subject to the terms and conditions set forth in this Agreement and the Plan, which is incorporated herein by reference. In the event of any inconsistency between the Plan and this Agreement, the terms of the Plan will control.</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PSUs and Dividend Equivalents will at all times prior to settlement represent an unsecured Company obligation payable only from the Company’s general assets.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3520"/>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PSUs will vest according to the vesting schedule in the Grant Notice (the “</w:t>
      </w:r>
      <w:r>
        <w:rPr>
          <w:rFonts w:ascii="Times New Roman" w:cs="Times New Roman" w:eastAsia="Times New Roman" w:hAnsi="Times New Roman"/>
          <w:sz w:val="20"/>
          <w:szCs w:val="20"/>
          <w:b w:val="1"/>
          <w:bCs w:val="1"/>
          <w:i w:val="1"/>
          <w:iCs w:val="1"/>
          <w:color w:val="auto"/>
        </w:rPr>
        <w:t>Vesting Schedule</w:t>
      </w:r>
      <w:r>
        <w:rPr>
          <w:rFonts w:ascii="Times New Roman" w:cs="Times New Roman" w:eastAsia="Times New Roman" w:hAnsi="Times New Roman"/>
          <w:sz w:val="20"/>
          <w:szCs w:val="20"/>
          <w:color w:val="auto"/>
        </w:rPr>
        <w:t>”).</w:t>
      </w:r>
    </w:p>
    <w:p>
      <w:pPr>
        <w:jc w:val="both"/>
        <w:spacing w:after="0" w:line="215" w:lineRule="auto"/>
        <w:rPr>
          <w:sz w:val="20"/>
          <w:szCs w:val="20"/>
          <w:color w:val="auto"/>
        </w:rPr>
      </w:pPr>
      <w:r>
        <w:rPr>
          <w:rFonts w:ascii="Times New Roman" w:cs="Times New Roman" w:eastAsia="Times New Roman" w:hAnsi="Times New Roman"/>
          <w:sz w:val="19"/>
          <w:szCs w:val="19"/>
          <w:color w:val="auto"/>
        </w:rPr>
        <w:t>Except as provided in the Grant Notice, in the event of Participant’s Termination of Service for any reason, all unvested PSUs and any unpaid Dividend Equivalents will immediately and automatically be cancelled and forfeited, except as otherwise determined by the Administrator or</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provided in a binding written agreement between Participant and the Company. Unless and until the PSUs have vested in accordance with the Vesting Schedule set forth in the Grant Notice, Participant will have no right to any distribution with respect to such PSUs.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p>
    <w:p>
      <w:pPr>
        <w:spacing w:after="0" w:line="189" w:lineRule="exact"/>
        <w:rPr>
          <w:sz w:val="20"/>
          <w:szCs w:val="20"/>
          <w:color w:val="auto"/>
        </w:rPr>
      </w:pPr>
    </w:p>
    <w:p>
      <w:pPr>
        <w:jc w:val="both"/>
        <w:ind w:firstLine="1304"/>
        <w:spacing w:after="0" w:line="226" w:lineRule="auto"/>
        <w:tabs>
          <w:tab w:leader="none" w:pos="193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PSUs will be paid in Shares to the Trustee as soon as administratively practicable after the vesting of the applicable PSU, but in no event more than sixty days after the applicable vesting date, who will hold them in trust for the benefit of Participant in accordance with the terms and provisions of this Agreement, the Plan and the Trust Agreement.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distributions shall be made by the Company in the form of whole shares of Common Stock.</w:t>
      </w:r>
    </w:p>
    <w:p>
      <w:pPr>
        <w:spacing w:after="0" w:line="17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notify the Trustee of the distribution of any Shares in respect of the PSUs set forth in this Agreement. If such issuance occurs during the Required Holding Period, the Shares issued upon the settlement of the PSUs shall be issued in the name of the Trustee, and held in trust on Participant’s behalf by the Trustee. In the event that such settlement occurs after the end of the Required Holding Period, the Shares issued upon the settlement of the PSUs shall either (i) be issued in the name of the Trustee, or (ii) be transferred to Participant directly, provided that Participant first complies with the tax provisions of the Plan and Sub-Plan, as provided in Section 4.2 below. In the event that Participant elects to have the Shares transferred to Participant without selling such Shares, Participant shall become liable to pay taxes immediately in accordance with the provisions of the ITO.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DIVIDEND EQUIVALENTS</w:t>
      </w:r>
    </w:p>
    <w:p>
      <w:pPr>
        <w:sectPr>
          <w:pgSz w:w="11900" w:h="16838" w:orient="portrait"/>
          <w:cols w:equalWidth="0" w:num="1">
            <w:col w:w="11240"/>
          </w:cols>
          <w:pgMar w:left="320" w:top="1409" w:right="339" w:bottom="1440" w:gutter="0" w:footer="0" w:header="0"/>
        </w:sectPr>
      </w:pPr>
    </w:p>
    <w:bookmarkStart w:id="237" w:name="page238"/>
    <w:bookmarkEnd w:id="237"/>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Award of Dividend Equivalents</w:t>
      </w:r>
      <w:r>
        <w:rPr>
          <w:rFonts w:ascii="Times New Roman" w:cs="Times New Roman" w:eastAsia="Times New Roman" w:hAnsi="Times New Roman"/>
          <w:sz w:val="19"/>
          <w:szCs w:val="19"/>
          <w:color w:val="auto"/>
        </w:rPr>
        <w:t>. To the extent a portion of a PSU has vested, but such vested portion of such PSU has not yet</w:t>
      </w:r>
    </w:p>
    <w:p>
      <w:pPr>
        <w:spacing w:after="0" w:line="204" w:lineRule="auto"/>
        <w:rPr>
          <w:sz w:val="20"/>
          <w:szCs w:val="20"/>
          <w:color w:val="auto"/>
        </w:rPr>
      </w:pPr>
      <w:r>
        <w:rPr>
          <w:rFonts w:ascii="Times New Roman" w:cs="Times New Roman" w:eastAsia="Times New Roman" w:hAnsi="Times New Roman"/>
          <w:sz w:val="20"/>
          <w:szCs w:val="20"/>
          <w:color w:val="auto"/>
        </w:rPr>
        <w:t>settled pursuant to Section 2.2, such vested portion of such PSU granted hereunder is hereby granted in tandem with a corresponding Dividend Equivalent, which Dividend Equivalent shall remain outstanding from such date of vesting until the earlier of the settlement or</w:t>
      </w:r>
    </w:p>
    <w:p>
      <w:pPr>
        <w:spacing w:after="0" w:line="211" w:lineRule="auto"/>
        <w:rPr>
          <w:sz w:val="20"/>
          <w:szCs w:val="20"/>
          <w:color w:val="auto"/>
        </w:rPr>
      </w:pPr>
      <w:r>
        <w:rPr>
          <w:rFonts w:ascii="Times New Roman" w:cs="Times New Roman" w:eastAsia="Times New Roman" w:hAnsi="Times New Roman"/>
          <w:sz w:val="20"/>
          <w:szCs w:val="20"/>
          <w:color w:val="auto"/>
        </w:rPr>
        <w:t>forfeiture of the PSU to which it corresponds. Pursuant to each outstanding Dividend Equivalent, Participant shall be entitled to receive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additional PSUs (or cash as set forth in Section 3.4) equal to the value of any dividends, if any, that Participant would have received in respect of the Share underlying the PSU to which such Dividend Equivalent relates, had such Share been outstanding on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 record date.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Crediting of Additional PSUs</w:t>
      </w:r>
      <w:r>
        <w:rPr>
          <w:rFonts w:ascii="Times New Roman" w:cs="Times New Roman" w:eastAsia="Times New Roman" w:hAnsi="Times New Roman"/>
          <w:sz w:val="19"/>
          <w:szCs w:val="19"/>
          <w:color w:val="auto"/>
        </w:rPr>
        <w:t>. Subject to Section 3.3 below, when such dividends are so declared, the following shall occur:</w:t>
      </w:r>
    </w:p>
    <w:p>
      <w:pPr>
        <w:spacing w:after="0" w:line="189" w:lineRule="exact"/>
        <w:rPr>
          <w:sz w:val="20"/>
          <w:szCs w:val="20"/>
          <w:color w:val="auto"/>
        </w:rPr>
      </w:pPr>
    </w:p>
    <w:p>
      <w:pPr>
        <w:jc w:val="both"/>
        <w:ind w:firstLine="1304"/>
        <w:spacing w:after="0" w:line="258" w:lineRule="auto"/>
        <w:tabs>
          <w:tab w:leader="none" w:pos="185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cash dividend in respect of outstanding Shares, the Company shall credit Participant with a number of full and fractional PSUs equal to the quotient of (i) the total number of vested PSUs subject to this Award but not yet distributed, multiplied by the per Share dollar amount of such dividend, divided by (ii) the Fair Market Value of a Share on the date such dividend is paid;</w:t>
      </w:r>
    </w:p>
    <w:p>
      <w:pPr>
        <w:spacing w:after="0" w:line="21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 Common Stock dividend in respect of outstanding Shares, the Company shall credit Participant with a number of full and fractional PSUs equal to the product of (i) the total number of vested PSUs subject to this Award but not yet distributed, multiplied by (ii) the number of Shares distributed with respect to such dividend per Share;</w:t>
      </w:r>
    </w:p>
    <w:p>
      <w:pPr>
        <w:spacing w:after="0" w:line="194" w:lineRule="exact"/>
        <w:rPr>
          <w:rFonts w:ascii="Times New Roman" w:cs="Times New Roman" w:eastAsia="Times New Roman" w:hAnsi="Times New Roman"/>
          <w:sz w:val="20"/>
          <w:szCs w:val="20"/>
          <w:color w:val="auto"/>
        </w:rPr>
      </w:pPr>
    </w:p>
    <w:p>
      <w:pPr>
        <w:jc w:val="both"/>
        <w:ind w:firstLine="1304"/>
        <w:spacing w:after="0" w:line="268" w:lineRule="auto"/>
        <w:tabs>
          <w:tab w:leader="none" w:pos="175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that the Company pays any other type of distribution in respect of outstanding Shares, the Company shall credit Participant in an equitable manner based on the total number of PSUs subject to this Award but not yet distributed, as determined in the sole discretion of the Administrator; or</w:t>
      </w:r>
    </w:p>
    <w:p>
      <w:pPr>
        <w:spacing w:after="0" w:line="188" w:lineRule="exact"/>
        <w:rPr>
          <w:rFonts w:ascii="Times New Roman" w:cs="Times New Roman" w:eastAsia="Times New Roman" w:hAnsi="Times New Roman"/>
          <w:sz w:val="20"/>
          <w:szCs w:val="20"/>
          <w:color w:val="auto"/>
        </w:rPr>
      </w:pPr>
    </w:p>
    <w:p>
      <w:pPr>
        <w:ind w:firstLine="1304"/>
        <w:spacing w:after="0" w:line="283" w:lineRule="auto"/>
        <w:tabs>
          <w:tab w:leader="none" w:pos="186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this Article III, in the event additional PSUs are credited to Participant as a result of any Dividend Equivalent right, the Company will provide Participant notice of the crediting of such additional PSUs.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Additional PSUs Subject to Same Terms</w:t>
      </w:r>
      <w:r>
        <w:rPr>
          <w:rFonts w:ascii="Times New Roman" w:cs="Times New Roman" w:eastAsia="Times New Roman" w:hAnsi="Times New Roman"/>
          <w:sz w:val="20"/>
          <w:szCs w:val="20"/>
          <w:color w:val="auto"/>
        </w:rPr>
        <w:t>. To the extent that any additional PSUs are credited to Participant in respect of Participant’s Dividend Equivalent rights, such additional PSUs shall be subject to the same terms as the original PSUs to which they relate.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Termination of Dividend Equivalents</w:t>
      </w:r>
      <w:r>
        <w:rPr>
          <w:rFonts w:ascii="Times New Roman" w:cs="Times New Roman" w:eastAsia="Times New Roman" w:hAnsi="Times New Roman"/>
          <w:sz w:val="20"/>
          <w:szCs w:val="20"/>
          <w:color w:val="auto"/>
        </w:rPr>
        <w:t>. Dividend Equivalent rights shall remain outstanding from the date of vesting through the earlier to occur of (i) the forfeiture for any reason of the PSU to which such Dividend Equivalent right corresponds or (ii) the delivery to Participant of payment for the PSU (in accordance with Section 2.2 above) to which such Dividend Equivalent right corresponds. For the avoidance of doubt, if a Dividend Equivalent right terminates after the applicable record date for a Company dividend (other than due to the forfeiture of the PSU to which such Dividend Equivalent right corresponds) and prior to the corresponding payment date thereof, Participant shall still be entitled to payment of the Dividend Equivalent right amount determined in accordance with this Article III, if and when the Company pays the underlying dividend; provided, however, that, unless otherwise provided by the Administrator, such Dividend Equivalent right amount shall be made in cash (rather than PSUs to be paid in Shares) within thirty days following the applicable dividend payment date. Further, if no dividend (or dividend record date) is declared by the Board prior to the date of forfeiture or date of settlement of the PSU to which such Dividend Equivalent right corresponds, such Dividend Equivalent right shall automatically be cancelled on such forfeiture date or settlement date.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394" w:right="339" w:bottom="1440" w:gutter="0" w:footer="0" w:header="0"/>
        </w:sectPr>
      </w:pPr>
    </w:p>
    <w:bookmarkStart w:id="238" w:name="page239"/>
    <w:bookmarkEnd w:id="238"/>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Tax Implications</w:t>
      </w:r>
      <w:r>
        <w:rPr>
          <w:rFonts w:ascii="Times New Roman" w:cs="Times New Roman" w:eastAsia="Times New Roman" w:hAnsi="Times New Roman"/>
          <w:sz w:val="20"/>
          <w:szCs w:val="20"/>
          <w:color w:val="auto"/>
        </w:rPr>
        <w:t>. Dividend Equivalent rights and amounts that become distributable in respect thereof shall be treated separately from the original PSUs and the rights arising in connection therewith for the purposes of qualification of the original PSUs under the Capital Gains Route and the entitlement to any tax benefits under Section 102 to the ITO.</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3860"/>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tax consequences of this Award and the transactions contemplated by the Grant Notice and this Agreement. Participant is relying solely on such advisors and not on any statements or representations of the Company and/or the Trustee or any of their agents.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Taxes; Tax Withholding.</w:t>
      </w:r>
    </w:p>
    <w:p>
      <w:pPr>
        <w:spacing w:after="0" w:line="189" w:lineRule="exact"/>
        <w:rPr>
          <w:sz w:val="20"/>
          <w:szCs w:val="20"/>
          <w:color w:val="auto"/>
        </w:rPr>
      </w:pPr>
    </w:p>
    <w:p>
      <w:pPr>
        <w:jc w:val="both"/>
        <w:ind w:right="20" w:firstLine="1304"/>
        <w:spacing w:after="0" w:line="234" w:lineRule="auto"/>
        <w:tabs>
          <w:tab w:leader="none" w:pos="193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obligated to deliver any certificate representing Shares issuable with respect to the PSUs or the Dividend Equivalents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any taxable event related to the PSUs or the Dividend Equivalents (the “</w:t>
      </w:r>
      <w:r>
        <w:rPr>
          <w:rFonts w:ascii="Times New Roman" w:cs="Times New Roman" w:eastAsia="Times New Roman" w:hAnsi="Times New Roman"/>
          <w:sz w:val="19"/>
          <w:szCs w:val="19"/>
          <w:b w:val="1"/>
          <w:bCs w:val="1"/>
          <w:i w:val="1"/>
          <w:iCs w:val="1"/>
          <w:color w:val="auto"/>
        </w:rPr>
        <w:t>Tax Withholding Obligation</w:t>
      </w:r>
      <w:r>
        <w:rPr>
          <w:rFonts w:ascii="Times New Roman" w:cs="Times New Roman" w:eastAsia="Times New Roman" w:hAnsi="Times New Roman"/>
          <w:sz w:val="19"/>
          <w:szCs w:val="19"/>
          <w:color w:val="auto"/>
        </w:rPr>
        <w:t>”).</w:t>
      </w:r>
    </w:p>
    <w:p>
      <w:pPr>
        <w:spacing w:after="0" w:line="146"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any sale of the Shares underlying the PSU or the transfer of the Shares underlying the PSU from the Trustee to Participant, Participant shall be subject to tax. Such tax will be calculated and withheld at source by the Company and/or its Related Entities and/or the Trustee according to the requirements under the Applicable Laws. Participant may elect to satisfy the Tax Withholding Obligation by any means provided in accordance with Section 9.5 of the Plan, which includes Participant’s ability to instruct and authorize the Company to, with respect to the Tax Withholding Obligation arising as a result of the sale of the Shares underlying the PSUs or the transfer of the Shares underlying the PSUs from the Trustee to Participant (in each case, including additional PSUs granted pursuant to Section 3.2), withhold a net number of vested Shares otherwise issuable pursuant to the PSUs having a then-current Fair Market Value not exceeding the amount necessary to satisfy the Tax Withholding Obligation of the Company and its Related Entities.</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9.5 of the Plan, the applicable Tax Withholding Obligation will be determined based on Participant's Applicable Tax Withholding Rate. Participant's “</w:t>
      </w:r>
      <w:r>
        <w:rPr>
          <w:rFonts w:ascii="Times New Roman" w:cs="Times New Roman" w:eastAsia="Times New Roman" w:hAnsi="Times New Roman"/>
          <w:sz w:val="20"/>
          <w:szCs w:val="20"/>
          <w:b w:val="1"/>
          <w:bCs w:val="1"/>
          <w:i w:val="1"/>
          <w:iCs w:val="1"/>
          <w:color w:val="auto"/>
        </w:rPr>
        <w:t>Applicable Tax Withholding Rate</w:t>
      </w:r>
      <w:r>
        <w:rPr>
          <w:rFonts w:ascii="Times New Roman" w:cs="Times New Roman" w:eastAsia="Times New Roman" w:hAnsi="Times New Roman"/>
          <w:sz w:val="20"/>
          <w:szCs w:val="20"/>
          <w:color w:val="auto"/>
        </w:rPr>
        <w:t xml:space="preserve">” shall mean (i) the greater of (A) the minimum applicable statutory tax withholding rate or (B) with Participant’s consent, the maximum individual tax withholding rate permitted under the rules of the applicable taxing authority for tax withholding attributable to the underlying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in no event shall Participant’s Applicable Tax Withholding Rate exceed the maximum individual statutory tax rate in the applicable jurisdiction at the time of such withholding;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number of Shares tendered or withheld, if applicable, pursuant to Section 4.2(b) shall be rounded up to the nearest whole Share sufficient to cover the applicable Tax Withholding Obligation, to the extent rounding up to the nearest whole Share does not result in the liability classification of the PSUs and Dividend Equivalents under generally accepted accounting principles.</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that Participant is ultimately liable and responsible for all taxes owed in connection with the PSUs and the Dividend Equivalents, regardless of any action the Company or any Related Entity or the Trustee takes with respect to any Tax Withholding Obligations that arise in connection with the PSUs and the Dividend Equivalents. Neither the Company nor any Related Entity nor the Trustee makes any representation or undertaking regarding the tax treatment to Participant in connection with the PSUs and the Dividend Equivalents or the subsequent sale of Shares. The Company and the Related Entities and the Trustee do not commit and are under no obligation to structure the PSUs and the Dividend Equivalents to reduce or eliminate Participant’s tax liability. Furthermore, Participant agrees to indemnify the Company and/or its Related Entities and/or the Trustee and hold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40"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9"/>
          <w:szCs w:val="19"/>
          <w:color w:val="auto"/>
        </w:rPr>
        <w:t>harmless against and from any and all liability for any such tax or interest or penalty thereon, including without limitation, liabilities relating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necessity to withhold, or to have withheld, any such tax from any payment made to Participant for which Participant is responsible. The Company or any of its Related Entities and the Trustee may make such provisions and take such steps as it/they may deem necessary or</w:t>
      </w:r>
    </w:p>
    <w:p>
      <w:pPr>
        <w:spacing w:after="0" w:line="211" w:lineRule="auto"/>
        <w:rPr>
          <w:sz w:val="20"/>
          <w:szCs w:val="20"/>
          <w:color w:val="auto"/>
        </w:rPr>
      </w:pPr>
      <w:r>
        <w:rPr>
          <w:rFonts w:ascii="Times New Roman" w:cs="Times New Roman" w:eastAsia="Times New Roman" w:hAnsi="Times New Roman"/>
          <w:sz w:val="20"/>
          <w:szCs w:val="20"/>
          <w:color w:val="auto"/>
        </w:rPr>
        <w:t>appropriate for the withholding of all taxes required by law to be withheld with respect to the Award and the settlement thereof. In addition,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Participant will be required to pay any amount that exceeds the tax to be withheld and transferred to the tax authorities, pursuant to applicable Israeli tax regulations.</w:t>
      </w:r>
    </w:p>
    <w:p>
      <w:pPr>
        <w:spacing w:after="0" w:line="1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ind w:left="4620"/>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3"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Award Not Transferable; Other Restrictions</w:t>
      </w:r>
      <w:r>
        <w:rPr>
          <w:rFonts w:ascii="Times New Roman" w:cs="Times New Roman" w:eastAsia="Times New Roman" w:hAnsi="Times New Roman"/>
          <w:sz w:val="20"/>
          <w:szCs w:val="20"/>
          <w:color w:val="auto"/>
        </w:rPr>
        <w:t>. Without limiting the generality of any other provision hereof, the Award shall be subject to the restrictions on transferability set forth in Section 9.1 of the Plan. In addition, the Award and any Shares underlying the PSUs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shall be subject to the applicable restrictions provided in the Sub-Plan, in particular, those restrictions imposed in the framework of Section 102(b) of the ITO with respect to the Required Holding Period.</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By executing this Agreement and accepting this Award, Participant agrees that all compensation</w:t>
      </w:r>
    </w:p>
    <w:p>
      <w:pPr>
        <w:spacing w:after="0" w:line="204" w:lineRule="auto"/>
        <w:rPr>
          <w:sz w:val="20"/>
          <w:szCs w:val="20"/>
          <w:color w:val="auto"/>
        </w:rPr>
      </w:pPr>
      <w:r>
        <w:rPr>
          <w:rFonts w:ascii="Times New Roman" w:cs="Times New Roman" w:eastAsia="Times New Roman" w:hAnsi="Times New Roman"/>
          <w:sz w:val="20"/>
          <w:szCs w:val="20"/>
          <w:color w:val="auto"/>
        </w:rPr>
        <w:t>received by Participant, including Awards under the Plan, may be subject to reduction, cancellation, forfeiture and/or recoupment to the extent necessary to comply with the provisions of any clawback policy implemented by the Company, including, without limitation, the</w:t>
      </w:r>
    </w:p>
    <w:p>
      <w:pPr>
        <w:spacing w:after="0" w:line="211" w:lineRule="auto"/>
        <w:rPr>
          <w:sz w:val="20"/>
          <w:szCs w:val="20"/>
          <w:color w:val="auto"/>
        </w:rPr>
      </w:pPr>
      <w:r>
        <w:rPr>
          <w:rFonts w:ascii="Times New Roman" w:cs="Times New Roman" w:eastAsia="Times New Roman" w:hAnsi="Times New Roman"/>
          <w:sz w:val="20"/>
          <w:szCs w:val="20"/>
          <w:color w:val="auto"/>
        </w:rPr>
        <w:t>Company’s Policy for Recovery of Erroneously Awarded Compensation and any clawback policy adopted to comply with applicable law</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(including the Dodd-Frank Wall Street Reform and Consumer Protection Act and any rules or regulations promulgated thereunder) (collectively, the “</w:t>
      </w:r>
      <w:r>
        <w:rPr>
          <w:rFonts w:ascii="Times New Roman" w:cs="Times New Roman" w:eastAsia="Times New Roman" w:hAnsi="Times New Roman"/>
          <w:sz w:val="19"/>
          <w:szCs w:val="19"/>
          <w:b w:val="1"/>
          <w:bCs w:val="1"/>
          <w:i w:val="1"/>
          <w:iCs w:val="1"/>
          <w:color w:val="auto"/>
        </w:rPr>
        <w:t>Recovery Arrangements</w:t>
      </w:r>
      <w:r>
        <w:rPr>
          <w:rFonts w:ascii="Times New Roman" w:cs="Times New Roman" w:eastAsia="Times New Roman" w:hAnsi="Times New Roman"/>
          <w:sz w:val="19"/>
          <w:szCs w:val="19"/>
          <w:color w:val="auto"/>
        </w:rPr>
        <w:t>”) and Section 10.14 of the Plan, notwithstanding any other agreement to the contrary. Participant</w:t>
      </w:r>
    </w:p>
    <w:p>
      <w:pPr>
        <w:spacing w:after="0" w:line="221" w:lineRule="auto"/>
        <w:rPr>
          <w:sz w:val="20"/>
          <w:szCs w:val="20"/>
          <w:color w:val="auto"/>
        </w:rPr>
      </w:pPr>
      <w:r>
        <w:rPr>
          <w:rFonts w:ascii="Times New Roman" w:cs="Times New Roman" w:eastAsia="Times New Roman" w:hAnsi="Times New Roman"/>
          <w:sz w:val="20"/>
          <w:szCs w:val="20"/>
          <w:color w:val="auto"/>
        </w:rPr>
        <w:t>agrees that Participant is not entitled to indemnification in connection with any enforcement of the Recovery Arrangements and expressly waives any rights to such indemnification under the Company’s organizational documents or otherwise.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Stop-Transfer Orders.</w:t>
      </w:r>
    </w:p>
    <w:p>
      <w:pPr>
        <w:spacing w:after="0" w:line="189" w:lineRule="exact"/>
        <w:rPr>
          <w:sz w:val="20"/>
          <w:szCs w:val="20"/>
          <w:color w:val="auto"/>
        </w:rPr>
      </w:pPr>
    </w:p>
    <w:p>
      <w:pPr>
        <w:jc w:val="both"/>
        <w:ind w:firstLine="1304"/>
        <w:spacing w:after="0" w:line="226"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Stop-Transfer Notices</w:t>
      </w:r>
      <w:r>
        <w:rPr>
          <w:rFonts w:ascii="Times New Roman" w:cs="Times New Roman" w:eastAsia="Times New Roman" w:hAnsi="Times New Roman"/>
          <w:sz w:val="20"/>
          <w:szCs w:val="20"/>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Refusal to Transfer</w:t>
      </w:r>
      <w:r>
        <w:rPr>
          <w:rFonts w:ascii="Times New Roman" w:cs="Times New Roman" w:eastAsia="Times New Roman" w:hAnsi="Times New Roman"/>
          <w:sz w:val="20"/>
          <w:szCs w:val="20"/>
          <w:color w:val="auto"/>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Restrictions on Transfer</w:t>
      </w:r>
      <w:r>
        <w:rPr>
          <w:rFonts w:ascii="Times New Roman" w:cs="Times New Roman" w:eastAsia="Times New Roman" w:hAnsi="Times New Roman"/>
          <w:sz w:val="20"/>
          <w:szCs w:val="20"/>
          <w:color w:val="auto"/>
        </w:rPr>
        <w:t>. In addition to the limitations contained in Section 5.1 above and this Section 5.2, Participant agrees and acknowledges that Participant will not transfer in any manner the Shares issued pursuant to this Agreement unless (i) the transfer is pursuant to an effective registration statement under the Securities Act or the rules and regulations in effect thereunder, or (ii) counsel for the Company shall have reasonably concluded that no such registration is required because of the availability of an exemption from registration under the Securities Act. To the extent permitted by Applicable Laws, the Plan and this Agreement shall be deemed amended to the extent necessary to conform to such laws, rules and regulations.</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PSUs, the Dividend Equivalents and the Shares issuable with respect thereto are subject to adjustment, modification and termination in certain events as provided in this Agreement and the Plan.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399"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or any equivalent non-U.S. postal service, when delivered by a nationally recognized express shipping company or upon receipt of a facsimile transmission confirmation.</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conform to Applicable Laws.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5.8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this Agreement (including any exhibit hereto) and the Trust Agreement constitute the entire agreement of the parties and supersede in their entirety all prior undertakings and agreements of the Company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Participant with respect to the subject matter hereof, including without limitation, the provisions of any employment agreement or offer letter regarding equity awards to be awarded to Participant by the Company, or any other oral, implied or written promises, statements,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understandings, undertakings or agreements by the Company or any of its representatives regarding equity awards to be awarded to Participant by the Company. Participant hereby agrees to execute such further instruments and to take such further action as the Company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requests to carry out the purposes and intent of this Agreement and the Plan, including, without limitation, restrictions on the transferability of the Shares. This Agreement may not be amended without the written consent of Participant and an authorized officer of the Company.</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trust. Neither the Plan nor any underlying program, in and of itself, has any assets. Participant will have only the rights of a general unsecured creditor of the Company with respect to amounts credited and benefits payable, if any, with respect to the PSUs and the Dividend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Equivalents, and rights no greater than the right to receive the Shares as a general unsecured creditor with respect to the PSUs and the Dividend Equivalents, as and when settled pursuant to the terms of this Agreement.</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Shares (which may be in book-entry form) will have been issued and recorded on the records of the Company or its transfer agents or registrars, and delivered to Participant or the Trustee (including through electronic delivery to a brokerage account unless otherwise required</w:t>
      </w:r>
    </w:p>
    <w:p>
      <w:pPr>
        <w:spacing w:after="0" w:line="211" w:lineRule="auto"/>
        <w:rPr>
          <w:sz w:val="20"/>
          <w:szCs w:val="20"/>
          <w:color w:val="auto"/>
        </w:rPr>
      </w:pPr>
      <w:r>
        <w:rPr>
          <w:rFonts w:ascii="Times New Roman" w:cs="Times New Roman" w:eastAsia="Times New Roman" w:hAnsi="Times New Roman"/>
          <w:sz w:val="20"/>
          <w:szCs w:val="20"/>
          <w:color w:val="auto"/>
        </w:rPr>
        <w:t>by the Trustee for compliance with Section 102). Except as otherwise provided herein, after such issuance, recordation and delivery,</w:t>
      </w:r>
    </w:p>
    <w:p>
      <w:pPr>
        <w:jc w:val="both"/>
        <w:spacing w:after="0" w:line="204" w:lineRule="auto"/>
        <w:rPr>
          <w:sz w:val="20"/>
          <w:szCs w:val="20"/>
          <w:color w:val="auto"/>
        </w:rPr>
      </w:pPr>
      <w:r>
        <w:rPr>
          <w:rFonts w:ascii="Times New Roman" w:cs="Times New Roman" w:eastAsia="Times New Roman" w:hAnsi="Times New Roman"/>
          <w:sz w:val="20"/>
          <w:szCs w:val="20"/>
          <w:color w:val="auto"/>
        </w:rPr>
        <w:t>Participant or the Trustee, as applicable, will have all the rights of a stockholder of the Company with respect to such Shares, including, without limitation, the right to receipt of dividends and distributions on such Shares, except that any and all rights issued in respect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Shares, including bonus shares but excluding cash dividends (“</w:t>
      </w:r>
      <w:r>
        <w:rPr>
          <w:rFonts w:ascii="Times New Roman" w:cs="Times New Roman" w:eastAsia="Times New Roman" w:hAnsi="Times New Roman"/>
          <w:sz w:val="20"/>
          <w:szCs w:val="20"/>
          <w:b w:val="1"/>
          <w:bCs w:val="1"/>
          <w:i w:val="1"/>
          <w:iCs w:val="1"/>
          <w:color w:val="auto"/>
        </w:rPr>
        <w:t>Rights</w:t>
      </w:r>
      <w:r>
        <w:rPr>
          <w:rFonts w:ascii="Times New Roman" w:cs="Times New Roman" w:eastAsia="Times New Roman" w:hAnsi="Times New Roman"/>
          <w:sz w:val="20"/>
          <w:szCs w:val="20"/>
          <w:color w:val="auto"/>
        </w:rPr>
        <w:t>”), shall be deposited with the Trustee and held thereby until the lapse of the Required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ectPr>
          <w:pgSz w:w="11900" w:h="16838" w:orient="portrait"/>
          <w:cols w:equalWidth="0" w:num="1">
            <w:col w:w="11240"/>
          </w:cols>
          <w:pgMar w:left="320" w:top="1399"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0"/>
          <w:szCs w:val="20"/>
          <w:color w:val="auto"/>
        </w:rPr>
        <w:t>Period, and such Rights shall be subject to Section 102. Notwithstanding the aforesaid, Participant may sell Shares or Rights or execute a</w:t>
      </w:r>
    </w:p>
    <w:p>
      <w:pPr>
        <w:spacing w:after="0" w:line="204" w:lineRule="auto"/>
        <w:rPr>
          <w:sz w:val="20"/>
          <w:szCs w:val="20"/>
          <w:color w:val="auto"/>
        </w:rPr>
      </w:pPr>
      <w:r>
        <w:rPr>
          <w:rFonts w:ascii="Times New Roman" w:cs="Times New Roman" w:eastAsia="Times New Roman" w:hAnsi="Times New Roman"/>
          <w:sz w:val="20"/>
          <w:szCs w:val="20"/>
          <w:color w:val="auto"/>
        </w:rPr>
        <w:t>transfer of such Shares or Rights to Participant prior to the lapse of the Required Holding Period, provided that tax is withheld at source by the Company in accordance with the ITO, the Rules and the terms and conditions of the Trust Agreement. In such case, Participant’s gains</w:t>
      </w:r>
    </w:p>
    <w:p>
      <w:pPr>
        <w:spacing w:after="0" w:line="211" w:lineRule="auto"/>
        <w:rPr>
          <w:sz w:val="20"/>
          <w:szCs w:val="20"/>
          <w:color w:val="auto"/>
        </w:rPr>
      </w:pPr>
      <w:r>
        <w:rPr>
          <w:rFonts w:ascii="Times New Roman" w:cs="Times New Roman" w:eastAsia="Times New Roman" w:hAnsi="Times New Roman"/>
          <w:sz w:val="20"/>
          <w:szCs w:val="20"/>
          <w:color w:val="auto"/>
        </w:rPr>
        <w:t>shall be classified as ordinary income and Participant shall be subject to tax on such income at marginal tax rates plus social security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national health insurance payments. The issuance of Shares under this Award to Participant shall be subject to Participant’s satisfaction of the conditions under Section 10.14 of the Plan.</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the Plan, the Grant Notice or this Agreement confers upon Participant any right to</w:t>
      </w:r>
    </w:p>
    <w:p>
      <w:pPr>
        <w:spacing w:after="0" w:line="204" w:lineRule="auto"/>
        <w:rPr>
          <w:sz w:val="20"/>
          <w:szCs w:val="20"/>
          <w:color w:val="auto"/>
        </w:rPr>
      </w:pPr>
      <w:r>
        <w:rPr>
          <w:rFonts w:ascii="Times New Roman" w:cs="Times New Roman" w:eastAsia="Times New Roman" w:hAnsi="Times New Roman"/>
          <w:sz w:val="20"/>
          <w:szCs w:val="20"/>
          <w:color w:val="auto"/>
        </w:rPr>
        <w:t>continue in the employ or service of the Company or any Related Entity or interferes with or restricts in any way the rights of the Company and its Related Entities, which rights are hereby expressly reserved, to discharge or terminate the services of Participant at any time for any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reason whatsoever, with or without Cause, except to the extent expressly provided otherwise in a written agreement between the Company or a Related Entity and Participant.</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Laws, each of which will be deemed an original and all of which together will constitute one instrument.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5.15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provisions of the Plan and all Awards made thereunder, including the PSUs and the Dividend Equivalents, shall be governed by and interpreted in accordance with the laws of the State of Delaware, disregarding choice-of-law principles</w:t>
      </w:r>
    </w:p>
    <w:p>
      <w:pPr>
        <w:spacing w:after="0"/>
        <w:rPr>
          <w:sz w:val="20"/>
          <w:szCs w:val="20"/>
          <w:color w:val="auto"/>
        </w:rPr>
      </w:pPr>
      <w:r>
        <w:rPr>
          <w:rFonts w:ascii="Times New Roman" w:cs="Times New Roman" w:eastAsia="Times New Roman" w:hAnsi="Times New Roman"/>
          <w:sz w:val="20"/>
          <w:szCs w:val="20"/>
          <w:color w:val="auto"/>
        </w:rPr>
        <w:t>of the law of any state that would require the application of the laws of a jurisdiction other than such state.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u w:val="single" w:color="auto"/>
          <w:color w:val="auto"/>
        </w:rPr>
        <w:t>Section 102 Compliance.</w:t>
      </w:r>
    </w:p>
    <w:p>
      <w:pPr>
        <w:spacing w:after="0" w:line="189" w:lineRule="exact"/>
        <w:rPr>
          <w:sz w:val="20"/>
          <w:szCs w:val="20"/>
          <w:color w:val="auto"/>
        </w:rPr>
      </w:pPr>
    </w:p>
    <w:p>
      <w:pPr>
        <w:ind w:firstLine="487"/>
        <w:spacing w:after="0" w:line="283" w:lineRule="auto"/>
        <w:tabs>
          <w:tab w:leader="none" w:pos="987"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102 Capital Gains Track Grant, the Award shall be deposited with the Trustee as required by law to qualify under Section 102, for the benefit of Participant. Participant shall comply with the ITO, the Rules, and the terms and conditions of the Trust Agreement.</w:t>
      </w:r>
    </w:p>
    <w:p>
      <w:pPr>
        <w:spacing w:after="0" w:line="173" w:lineRule="exact"/>
        <w:rPr>
          <w:rFonts w:ascii="Times New Roman" w:cs="Times New Roman" w:eastAsia="Times New Roman" w:hAnsi="Times New Roman"/>
          <w:sz w:val="20"/>
          <w:szCs w:val="20"/>
          <w:color w:val="auto"/>
        </w:rPr>
      </w:pPr>
    </w:p>
    <w:p>
      <w:pPr>
        <w:jc w:val="both"/>
        <w:ind w:firstLine="438"/>
        <w:spacing w:after="0" w:line="268" w:lineRule="auto"/>
        <w:tabs>
          <w:tab w:leader="none" w:pos="87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Trustee shall hold the Award or any Shares issued upon settlement of the Award for the Required Holding Period, as set forth in the Sub-Plan. It is acknowledged that as long as the Shares are held by the Trustee, the Trustee shall be the registered shareholder of the Shares, and hold such Shares for the benefit of Participant.</w:t>
      </w:r>
    </w:p>
    <w:p>
      <w:pPr>
        <w:spacing w:after="0" w:line="188"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20"/>
          <w:szCs w:val="20"/>
          <w:color w:val="auto"/>
        </w:rPr>
        <w:t>(c) In the event that Participant disposes of any Shares underlying the Award prior to the expiration of the Required Holding Period or directs a transfer of the Shares underlying the Award from the Trustee to Participant prior to the expiration of the Required Holding Period, Participant acknowledges and agrees that any additional gains from the sale of such Shares shall not qualify for the tax treatment under the 102 Capital Gains Track and shall be subject to taxation in Israel in accordance with ordinary income tax principles. Participant further acknowledges and agrees that in such instance, Participant shall be liable for the employer’s component of payments to the Israeli National Insurance Institute (to the extent such payments by Participant’s employer are required).</w:t>
      </w:r>
    </w:p>
    <w:p>
      <w:pPr>
        <w:spacing w:after="0" w:line="219" w:lineRule="exact"/>
        <w:rPr>
          <w:sz w:val="20"/>
          <w:szCs w:val="20"/>
          <w:color w:val="auto"/>
        </w:rPr>
      </w:pPr>
    </w:p>
    <w:p>
      <w:pPr>
        <w:ind w:firstLine="407"/>
        <w:spacing w:after="0" w:line="269" w:lineRule="auto"/>
        <w:tabs>
          <w:tab w:leader="none" w:pos="87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undertakes to release the Trustee from any liability in respect of any action or decision duly taken and bona fide executed in relation to the Plan, or any Award or Shares issued to Participant thereunder.</w:t>
      </w:r>
    </w:p>
    <w:p>
      <w:pPr>
        <w:spacing w:after="0" w:line="199" w:lineRule="exact"/>
        <w:rPr>
          <w:rFonts w:ascii="Times New Roman" w:cs="Times New Roman" w:eastAsia="Times New Roman" w:hAnsi="Times New Roman"/>
          <w:sz w:val="20"/>
          <w:szCs w:val="20"/>
          <w:color w:val="auto"/>
        </w:rPr>
      </w:pPr>
    </w:p>
    <w:p>
      <w:pPr>
        <w:ind w:firstLine="627"/>
        <w:spacing w:after="0" w:line="269" w:lineRule="auto"/>
        <w:tabs>
          <w:tab w:leader="none" w:pos="1225"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hereby confirms that Participant shall execute any and all documents which the Company or the Trustee may reasonably determine to be necessary in order to comply with the ITO and particularly, the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394" w:right="339" w:bottom="1440" w:gutter="0" w:footer="0" w:header="0"/>
        </w:sectPr>
      </w:pPr>
    </w:p>
    <w:bookmarkStart w:id="242" w:name="page243"/>
    <w:bookmarkEnd w:id="24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w:t>
      </w:r>
    </w:p>
    <w:p>
      <w:pPr>
        <w:spacing w:after="0" w:line="204" w:lineRule="auto"/>
        <w:rPr>
          <w:sz w:val="20"/>
          <w:szCs w:val="20"/>
          <w:color w:val="auto"/>
        </w:rPr>
      </w:pPr>
      <w:r>
        <w:rPr>
          <w:rFonts w:ascii="Times New Roman" w:cs="Times New Roman" w:eastAsia="Times New Roman" w:hAnsi="Times New Roman"/>
          <w:sz w:val="20"/>
          <w:szCs w:val="20"/>
          <w:color w:val="auto"/>
        </w:rPr>
        <w:t>Participant is subject to Section 16 of the Exchange Act, the Plan, the Grant Notice, this Agreement and the PSUs will be subject to any additional limitations set forth in any applicable exemptive rule under Section 16 of the Exchange Act (including any amendment to Rule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16b-3) that are 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ectPr>
          <w:pgSz w:w="11900" w:h="16838" w:orient="portrait"/>
          <w:cols w:equalWidth="0" w:num="1">
            <w:col w:w="11240"/>
          </w:cols>
          <w:pgMar w:left="320" w:top="1394" w:right="339" w:bottom="1440" w:gutter="0" w:footer="0" w:header="0"/>
        </w:sectPr>
      </w:pPr>
    </w:p>
    <w:bookmarkStart w:id="243" w:name="page244"/>
    <w:bookmarkEnd w:id="243"/>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43" w:lineRule="exact"/>
        <w:rPr>
          <w:sz w:val="20"/>
          <w:szCs w:val="20"/>
          <w:color w:val="auto"/>
        </w:rPr>
      </w:pPr>
    </w:p>
    <w:p>
      <w:pPr>
        <w:jc w:val="right"/>
        <w:ind w:right="3499"/>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|US-DOCS\155959013.3 ||</w:t>
      </w:r>
    </w:p>
    <w:p>
      <w:pPr>
        <w:sectPr>
          <w:pgSz w:w="11900" w:h="16838" w:orient="portrait"/>
          <w:cols w:equalWidth="0" w:num="1">
            <w:col w:w="10139"/>
          </w:cols>
          <w:pgMar w:left="320" w:top="1409" w:right="1440"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Subsidiaries of Playtika Holding Corporation</w:t>
            </w:r>
          </w:p>
        </w:tc>
      </w:tr>
      <w:tr>
        <w:trPr>
          <w:trHeight w:val="499"/>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of Organization</w:t>
            </w: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Playtika Ltd.</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Playtika UK - House of Fun Limited</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Playtika Santa Monica Holdings, LLC</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SuperPlay Ltd.</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Supertreat GMBH</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r>
      <w:tr>
        <w:trPr>
          <w:trHeight w:val="234"/>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Wooga GMBH</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bl>
    <w:p>
      <w:pPr>
        <w:sectPr>
          <w:pgSz w:w="11900" w:h="16838" w:orient="portrait"/>
          <w:cols w:equalWidth="0" w:num="1">
            <w:col w:w="11240"/>
          </w:cols>
          <w:pgMar w:left="320" w:top="1413"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333-252158) pertaining to the 2020 Incentive Award Plan of Playtika Holding Corp. of our reports dated February 26, 2026, with respect to the consolidated financial statements and financial statement schedule of Playtika Holding Corp., and the effectiveness of internal control over financial reporting of Playtika Holding Corp., included in this Annual Report (Form 10-K) for the year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ectPr>
          <w:pgSz w:w="11900" w:h="16838" w:orient="portrait"/>
          <w:cols w:equalWidth="0" w:num="1">
            <w:col w:w="11240"/>
          </w:cols>
          <w:pgMar w:left="320" w:top="1413"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Certification of</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Chief Executive Officer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Antokol, certify that:</w:t>
      </w:r>
    </w:p>
    <w:p>
      <w:pPr>
        <w:spacing w:after="0" w:line="248" w:lineRule="exact"/>
        <w:rPr>
          <w:sz w:val="20"/>
          <w:szCs w:val="20"/>
          <w:color w:val="auto"/>
        </w:rPr>
      </w:pPr>
    </w:p>
    <w:p>
      <w:pPr>
        <w:ind w:left="300" w:hanging="292"/>
        <w:spacing w:after="0"/>
        <w:tabs>
          <w:tab w:leader="none" w:pos="3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Playtika Holding Corp.;</w:t>
      </w:r>
    </w:p>
    <w:p>
      <w:pPr>
        <w:spacing w:after="0" w:line="248"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318"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hanging="652"/>
        <w:spacing w:after="0" w:line="298" w:lineRule="auto"/>
        <w:tabs>
          <w:tab w:leader="none" w:pos="323"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have:</w:t>
      </w:r>
    </w:p>
    <w:p>
      <w:pPr>
        <w:spacing w:after="0" w:line="243" w:lineRule="exact"/>
        <w:rPr>
          <w:rFonts w:ascii="Times New Roman" w:cs="Times New Roman" w:eastAsia="Times New Roman" w:hAnsi="Times New Roman"/>
          <w:sz w:val="16"/>
          <w:szCs w:val="16"/>
          <w:color w:val="auto"/>
        </w:rPr>
      </w:pPr>
    </w:p>
    <w:p>
      <w:pPr>
        <w:ind w:left="1300" w:hanging="644"/>
        <w:spacing w:after="0" w:line="263" w:lineRule="auto"/>
        <w:tabs>
          <w:tab w:leader="none" w:pos="1002"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6"/>
          <w:szCs w:val="16"/>
          <w:color w:val="auto"/>
        </w:rPr>
      </w:pPr>
    </w:p>
    <w:p>
      <w:pPr>
        <w:ind w:left="1300" w:hanging="644"/>
        <w:spacing w:after="0" w:line="280" w:lineRule="auto"/>
        <w:tabs>
          <w:tab w:leader="none" w:pos="994"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hanging="644"/>
        <w:spacing w:after="0" w:line="263" w:lineRule="auto"/>
        <w:tabs>
          <w:tab w:leader="none" w:pos="977"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hanging="652"/>
        <w:spacing w:after="0" w:line="280" w:lineRule="auto"/>
        <w:tabs>
          <w:tab w:leader="none" w:pos="36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1015"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20" w:hanging="644"/>
        <w:spacing w:after="0" w:line="298" w:lineRule="auto"/>
        <w:tabs>
          <w:tab w:leader="none" w:pos="959" w:val="left"/>
        </w:tabs>
        <w:numPr>
          <w:ilvl w:val="1"/>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8"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6"/>
          <w:szCs w:val="16"/>
          <w:color w:val="auto"/>
        </w:rPr>
        <w:t>February 26, 2026</w:t>
      </w:r>
      <w:r>
        <w:rPr>
          <w:sz w:val="20"/>
          <w:szCs w:val="20"/>
          <w:color w:val="auto"/>
        </w:rPr>
        <w:tab/>
      </w:r>
      <w:r>
        <w:rPr>
          <w:rFonts w:ascii="Times New Roman" w:cs="Times New Roman" w:eastAsia="Times New Roman" w:hAnsi="Times New Roman"/>
          <w:sz w:val="16"/>
          <w:szCs w:val="16"/>
          <w:color w:val="auto"/>
        </w:rPr>
        <w:t>By: /s/ Robert Antokol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20320</wp:posOffset>
            </wp:positionV>
            <wp:extent cx="38404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Robert Antokol</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Chief Executive Officer and Chairperson of the Board</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420"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Certification of</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Chief Financial Officer Pursuant to Section 302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Craig Abrahams, certify that:</w:t>
      </w:r>
    </w:p>
    <w:p>
      <w:pPr>
        <w:spacing w:after="0" w:line="248" w:lineRule="exact"/>
        <w:rPr>
          <w:sz w:val="20"/>
          <w:szCs w:val="20"/>
          <w:color w:val="auto"/>
        </w:rPr>
      </w:pPr>
    </w:p>
    <w:p>
      <w:pPr>
        <w:ind w:left="300" w:hanging="292"/>
        <w:spacing w:after="0"/>
        <w:tabs>
          <w:tab w:leader="none" w:pos="3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Playtika Holding Corp.;</w:t>
      </w:r>
    </w:p>
    <w:p>
      <w:pPr>
        <w:spacing w:after="0" w:line="248" w:lineRule="exact"/>
        <w:rPr>
          <w:rFonts w:ascii="Times New Roman" w:cs="Times New Roman" w:eastAsia="Times New Roman" w:hAnsi="Times New Roman"/>
          <w:sz w:val="16"/>
          <w:szCs w:val="16"/>
          <w:color w:val="auto"/>
        </w:rPr>
      </w:pPr>
    </w:p>
    <w:p>
      <w:pPr>
        <w:ind w:left="660" w:right="20" w:hanging="652"/>
        <w:spacing w:after="0" w:line="298" w:lineRule="auto"/>
        <w:tabs>
          <w:tab w:leader="none" w:pos="31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hanging="652"/>
        <w:spacing w:after="0" w:line="298" w:lineRule="auto"/>
        <w:tabs>
          <w:tab w:leader="none" w:pos="323"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have:</w:t>
      </w:r>
    </w:p>
    <w:p>
      <w:pPr>
        <w:spacing w:after="0" w:line="243" w:lineRule="exact"/>
        <w:rPr>
          <w:rFonts w:ascii="Times New Roman" w:cs="Times New Roman" w:eastAsia="Times New Roman" w:hAnsi="Times New Roman"/>
          <w:sz w:val="16"/>
          <w:szCs w:val="16"/>
          <w:color w:val="auto"/>
        </w:rPr>
      </w:pPr>
    </w:p>
    <w:p>
      <w:pPr>
        <w:ind w:left="1300" w:hanging="644"/>
        <w:spacing w:after="0" w:line="263" w:lineRule="auto"/>
        <w:tabs>
          <w:tab w:leader="none" w:pos="1002"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Times New Roman" w:cs="Times New Roman" w:eastAsia="Times New Roman" w:hAnsi="Times New Roman"/>
          <w:sz w:val="16"/>
          <w:szCs w:val="16"/>
          <w:color w:val="auto"/>
        </w:rPr>
      </w:pPr>
    </w:p>
    <w:p>
      <w:pPr>
        <w:ind w:left="1300" w:hanging="644"/>
        <w:spacing w:after="0" w:line="280" w:lineRule="auto"/>
        <w:tabs>
          <w:tab w:leader="none" w:pos="994"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hanging="644"/>
        <w:spacing w:after="0" w:line="263" w:lineRule="auto"/>
        <w:tabs>
          <w:tab w:leader="none" w:pos="977"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hanging="652"/>
        <w:spacing w:after="0" w:line="280" w:lineRule="auto"/>
        <w:tabs>
          <w:tab w:leader="none" w:pos="365"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20" w:hanging="644"/>
        <w:spacing w:after="0" w:line="280" w:lineRule="auto"/>
        <w:tabs>
          <w:tab w:leader="none" w:pos="1015"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20" w:hanging="644"/>
        <w:spacing w:after="0" w:line="298" w:lineRule="auto"/>
        <w:tabs>
          <w:tab w:leader="none" w:pos="959"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8"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6"/>
          <w:szCs w:val="16"/>
          <w:color w:val="auto"/>
        </w:rPr>
        <w:t>February 26, 2026</w:t>
      </w:r>
      <w:r>
        <w:rPr>
          <w:sz w:val="20"/>
          <w:szCs w:val="20"/>
          <w:color w:val="auto"/>
        </w:rPr>
        <w:tab/>
      </w:r>
      <w:r>
        <w:rPr>
          <w:rFonts w:ascii="Times New Roman" w:cs="Times New Roman" w:eastAsia="Times New Roman" w:hAnsi="Times New Roman"/>
          <w:sz w:val="16"/>
          <w:szCs w:val="16"/>
          <w:color w:val="auto"/>
        </w:rPr>
        <w:t>By: /s/ Craig Abrahams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20320</wp:posOffset>
            </wp:positionV>
            <wp:extent cx="38404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Craig Abrahams</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pacing w:after="0" w:line="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1420"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89" w:lineRule="exact"/>
        <w:rPr>
          <w:sz w:val="20"/>
          <w:szCs w:val="20"/>
          <w:color w:val="auto"/>
        </w:rPr>
      </w:pPr>
    </w:p>
    <w:p>
      <w:pPr>
        <w:ind w:left="660" w:hanging="652"/>
        <w:spacing w:after="0" w:line="282" w:lineRule="auto"/>
        <w:tabs>
          <w:tab w:leader="none" w:pos="32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81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Robert Antokol</w:t>
            </w:r>
          </w:p>
        </w:tc>
      </w:tr>
      <w:tr>
        <w:trPr>
          <w:trHeight w:val="218"/>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r>
      <w:tr>
        <w:trPr>
          <w:trHeight w:val="229"/>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Chairperson of the Board</w:t>
            </w:r>
          </w:p>
        </w:tc>
      </w:tr>
      <w:tr>
        <w:trPr>
          <w:trHeight w:val="234"/>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413" w:right="33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Playtika Holding Corp. (the “Company”) hereby certifies, to such officer’s knowledge, that:</w:t>
      </w:r>
    </w:p>
    <w:p>
      <w:pPr>
        <w:spacing w:after="0" w:line="189" w:lineRule="exact"/>
        <w:rPr>
          <w:sz w:val="20"/>
          <w:szCs w:val="20"/>
          <w:color w:val="auto"/>
        </w:rPr>
      </w:pPr>
    </w:p>
    <w:p>
      <w:pPr>
        <w:ind w:left="660" w:hanging="652"/>
        <w:spacing w:after="0" w:line="282" w:lineRule="auto"/>
        <w:tabs>
          <w:tab w:leader="none" w:pos="32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2025 (the “Report”) fully complies with the requirements of Section 13(a) or Section 15(d), as applicable, of the Securities Exchange Act of 1934, as amended; and</w:t>
      </w:r>
    </w:p>
    <w:p>
      <w:pPr>
        <w:spacing w:after="0" w:line="18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81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Craig Abrahams</w:t>
            </w:r>
          </w:p>
        </w:tc>
      </w:tr>
      <w:tr>
        <w:trPr>
          <w:trHeight w:val="218"/>
        </w:trPr>
        <w:tc>
          <w:tcPr>
            <w:tcW w:w="3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r>
      <w:tr>
        <w:trPr>
          <w:trHeight w:val="229"/>
        </w:trPr>
        <w:tc>
          <w:tcPr>
            <w:tcW w:w="3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3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1)"/>
      <w:numFmt w:val="decimal"/>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endash "/>
      <w:numFmt w:val="bullet"/>
      <w:start w:val="1"/>
    </w:lvl>
  </w:abstractNum>
  <w:abstractNum w:abstractNumId="32">
    <w:nsid w:val="7FB7E0AA"/>
    <w:multiLevelType w:val="hybridMultilevel"/>
    <w:lvl w:ilvl="0">
      <w:lvlJc w:val="left"/>
      <w:lvlText w:val="\endash "/>
      <w:numFmt w:val="bullet"/>
      <w:start w:val="1"/>
    </w:lvl>
  </w:abstractNum>
  <w:abstractNum w:abstractNumId="33">
    <w:nsid w:val="6EB5BD4"/>
    <w:multiLevelType w:val="hybridMultilevel"/>
    <w:lvl w:ilvl="0">
      <w:lvlJc w:val="left"/>
      <w:lvlText w:val="(%1)"/>
      <w:numFmt w:val="lowerRoman"/>
      <w:start w:val="3"/>
    </w:lvl>
  </w:abstractNum>
  <w:abstractNum w:abstractNumId="34">
    <w:nsid w:val="6F6DD9AC"/>
    <w:multiLevelType w:val="hybridMultilevel"/>
    <w:lvl w:ilvl="0">
      <w:lvlJc w:val="left"/>
      <w:lvlText w:val="(%1)"/>
      <w:numFmt w:val="lowerRoman"/>
      <w:start w:val="5"/>
    </w:lvl>
  </w:abstractNum>
  <w:abstractNum w:abstractNumId="35">
    <w:nsid w:val="94211F2"/>
    <w:multiLevelType w:val="hybridMultilevel"/>
    <w:lvl w:ilvl="0">
      <w:lvlJc w:val="left"/>
      <w:lvlText w:val="\endash "/>
      <w:numFmt w:val="bullet"/>
      <w:start w:val="1"/>
    </w:lvl>
  </w:abstractNum>
  <w:abstractNum w:abstractNumId="36">
    <w:nsid w:val="885E1B"/>
    <w:multiLevelType w:val="hybridMultilevel"/>
    <w:lvl w:ilvl="0">
      <w:lvlJc w:val="left"/>
      <w:lvlText w:val="(%1)"/>
      <w:numFmt w:val="decimal"/>
      <w:start w:val="1"/>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1)"/>
      <w:numFmt w:val="decimal"/>
      <w:start w:val="1"/>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1"/>
    </w:lvl>
  </w:abstractNum>
  <w:abstractNum w:abstractNumId="41">
    <w:nsid w:val="3222E7CD"/>
    <w:multiLevelType w:val="hybridMultilevel"/>
    <w:lvl w:ilvl="0">
      <w:lvlJc w:val="left"/>
      <w:lvlText w:val="%1"/>
      <w:numFmt w:val="decimal"/>
      <w:start w:val="1"/>
    </w:lvl>
    <w:lvl w:ilvl="1">
      <w:lvlJc w:val="left"/>
      <w:lvlText w:val="(%2)"/>
      <w:numFmt w:val="lowerRoman"/>
      <w:start w:val="2"/>
    </w:lvl>
  </w:abstractNum>
  <w:abstractNum w:abstractNumId="42">
    <w:nsid w:val="74DE0EE3"/>
    <w:multiLevelType w:val="hybridMultilevel"/>
    <w:lvl w:ilvl="0">
      <w:lvlJc w:val="left"/>
      <w:lvlText w:val="%1."/>
      <w:numFmt w:val="decimal"/>
      <w:start w:val="4"/>
    </w:lvl>
    <w:lvl w:ilvl="1">
      <w:lvlJc w:val="left"/>
      <w:lvlText w:val="%2"/>
      <w:numFmt w:val="lowerRoman"/>
      <w:start w:val="1"/>
    </w:lvl>
  </w:abstractNum>
  <w:abstractNum w:abstractNumId="43">
    <w:nsid w:val="68EBC550"/>
    <w:multiLevelType w:val="hybridMultilevel"/>
    <w:lvl w:ilvl="0">
      <w:lvlJc w:val="left"/>
      <w:lvlText w:val="%1."/>
      <w:numFmt w:val="decimal"/>
      <w:start w:val="5"/>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decimal"/>
      <w:start w:val="2"/>
    </w:lvl>
  </w:abstractNum>
  <w:abstractNum w:abstractNumId="46">
    <w:nsid w:val="4A2AC315"/>
    <w:multiLevelType w:val="hybridMultilevel"/>
    <w:lvl w:ilvl="0">
      <w:lvlJc w:val="left"/>
      <w:lvlText w:val="%1."/>
      <w:numFmt w:val="decimal"/>
      <w:start w:val="3"/>
    </w:lvl>
  </w:abstractNum>
  <w:abstractNum w:abstractNumId="47">
    <w:nsid w:val="39EE015C"/>
    <w:multiLevelType w:val="hybridMultilevel"/>
    <w:lvl w:ilvl="0">
      <w:lvlJc w:val="left"/>
      <w:lvlText w:val="%1."/>
      <w:numFmt w:val="decimal"/>
      <w:start w:val="4"/>
    </w:lvl>
  </w:abstractNum>
  <w:abstractNum w:abstractNumId="48">
    <w:nsid w:val="57FC4FBB"/>
    <w:multiLevelType w:val="hybridMultilevel"/>
    <w:lvl w:ilvl="0">
      <w:lvlJc w:val="left"/>
      <w:lvlText w:val="%1."/>
      <w:numFmt w:val="decimal"/>
      <w:start w:val="8"/>
    </w:lvl>
  </w:abstractNum>
  <w:abstractNum w:abstractNumId="49">
    <w:nsid w:val="CC1016F"/>
    <w:multiLevelType w:val="hybridMultilevel"/>
    <w:lvl w:ilvl="0">
      <w:lvlJc w:val="left"/>
      <w:lvlText w:val="%1."/>
      <w:numFmt w:val="decimal"/>
      <w:start w:val="9"/>
    </w:lvl>
  </w:abstractNum>
  <w:abstractNum w:abstractNumId="50">
    <w:nsid w:val="43F18422"/>
    <w:multiLevelType w:val="hybridMultilevel"/>
    <w:lvl w:ilvl="0">
      <w:lvlJc w:val="left"/>
      <w:lvlText w:val="(%1)"/>
      <w:numFmt w:val="lowerLetter"/>
      <w:start w:val="1"/>
    </w:lvl>
  </w:abstractNum>
  <w:abstractNum w:abstractNumId="51">
    <w:nsid w:val="60EF0119"/>
    <w:multiLevelType w:val="hybridMultilevel"/>
    <w:lvl w:ilvl="0">
      <w:lvlJc w:val="left"/>
      <w:lvlText w:val="(%1)"/>
      <w:numFmt w:val="lowerLetter"/>
      <w:start w:val="1"/>
    </w:lvl>
  </w:abstractNum>
  <w:abstractNum w:abstractNumId="52">
    <w:nsid w:val="26F324BA"/>
    <w:multiLevelType w:val="hybridMultilevel"/>
    <w:lvl w:ilvl="0">
      <w:lvlJc w:val="left"/>
      <w:lvlText w:val="(%1)"/>
      <w:numFmt w:val="lowerLetter"/>
      <w:start w:val="1"/>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lowerLetter"/>
      <w:start w:val="1"/>
    </w:lvl>
    <w:lvl w:ilvl="1">
      <w:lvlJc w:val="left"/>
      <w:lvlText w:val="(%2)"/>
      <w:numFmt w:val="lowerLetter"/>
      <w:start w:val="2"/>
    </w:lvl>
  </w:abstractNum>
  <w:abstractNum w:abstractNumId="55">
    <w:nsid w:val="7055A5F5"/>
    <w:multiLevelType w:val="hybridMultilevel"/>
    <w:lvl w:ilvl="0">
      <w:lvlJc w:val="left"/>
      <w:lvlText w:val="(%1)"/>
      <w:numFmt w:val="lowerLetter"/>
      <w:start w:val="3"/>
    </w:lvl>
  </w:abstractNum>
  <w:abstractNum w:abstractNumId="56">
    <w:nsid w:val="5FB8370B"/>
    <w:multiLevelType w:val="hybridMultilevel"/>
    <w:lvl w:ilvl="0">
      <w:lvlJc w:val="left"/>
      <w:lvlText w:val="(%1)"/>
      <w:numFmt w:val="lowerLetter"/>
      <w:start w:val="1"/>
    </w:lvl>
  </w:abstractNum>
  <w:abstractNum w:abstractNumId="57">
    <w:nsid w:val="50801EE1"/>
    <w:multiLevelType w:val="hybridMultilevel"/>
    <w:lvl w:ilvl="0">
      <w:lvlJc w:val="left"/>
      <w:lvlText w:val="(%1)"/>
      <w:numFmt w:val="lowerLetter"/>
      <w:start w:val="1"/>
    </w:lvl>
  </w:abstractNum>
  <w:abstractNum w:abstractNumId="58">
    <w:nsid w:val="488AC1A"/>
    <w:multiLevelType w:val="hybridMultilevel"/>
    <w:lvl w:ilvl="0">
      <w:lvlJc w:val="left"/>
      <w:lvlText w:val="(%1)"/>
      <w:numFmt w:val="lowerLetter"/>
      <w:start w:val="1"/>
    </w:lvl>
  </w:abstractNum>
  <w:abstractNum w:abstractNumId="59">
    <w:nsid w:val="5FB8011C"/>
    <w:multiLevelType w:val="hybridMultilevel"/>
    <w:lvl w:ilvl="0">
      <w:lvlJc w:val="left"/>
      <w:lvlText w:val="(%1)"/>
      <w:numFmt w:val="lowerLetter"/>
      <w:start w:val="1"/>
    </w:lvl>
  </w:abstractNum>
  <w:abstractNum w:abstractNumId="60">
    <w:nsid w:val="6AA78F7F"/>
    <w:multiLevelType w:val="hybridMultilevel"/>
    <w:lvl w:ilvl="0">
      <w:lvlJc w:val="left"/>
      <w:lvlText w:val="(%1)"/>
      <w:numFmt w:val="lowerLetter"/>
      <w:start w:val="1"/>
    </w:lvl>
  </w:abstractNum>
  <w:abstractNum w:abstractNumId="61">
    <w:nsid w:val="7672BD23"/>
    <w:multiLevelType w:val="hybridMultilevel"/>
    <w:lvl w:ilvl="0">
      <w:lvlJc w:val="left"/>
      <w:lvlText w:val="(%1)"/>
      <w:numFmt w:val="lowerLetter"/>
      <w:start w:val="2"/>
    </w:lvl>
  </w:abstractNum>
  <w:abstractNum w:abstractNumId="62">
    <w:nsid w:val="6FC75AF8"/>
    <w:multiLevelType w:val="hybridMultilevel"/>
    <w:lvl w:ilvl="0">
      <w:lvlJc w:val="left"/>
      <w:lvlText w:val="1"/>
      <w:numFmt w:val="bullet"/>
      <w:start w:val="1"/>
    </w:lvl>
  </w:abstractNum>
  <w:abstractNum w:abstractNumId="63">
    <w:nsid w:val="6A5F7029"/>
    <w:multiLevelType w:val="hybridMultilevel"/>
    <w:lvl w:ilvl="0">
      <w:lvlJc w:val="left"/>
      <w:lvlText w:val="(%1)"/>
      <w:numFmt w:val="lowerLetter"/>
      <w:start w:val="1"/>
    </w:lvl>
  </w:abstractNum>
  <w:abstractNum w:abstractNumId="64">
    <w:nsid w:val="7D5E18F8"/>
    <w:multiLevelType w:val="hybridMultilevel"/>
    <w:lvl w:ilvl="0">
      <w:lvlJc w:val="left"/>
      <w:lvlText w:val="(%1)"/>
      <w:numFmt w:val="lowerLetter"/>
      <w:start w:val="1"/>
    </w:lvl>
  </w:abstractNum>
  <w:abstractNum w:abstractNumId="65">
    <w:nsid w:val="5F3534A4"/>
    <w:multiLevelType w:val="hybridMultilevel"/>
    <w:lvl w:ilvl="0">
      <w:lvlJc w:val="left"/>
      <w:lvlText w:val="(%1)"/>
      <w:numFmt w:val="lowerLetter"/>
      <w:start w:val="1"/>
    </w:lvl>
  </w:abstractNum>
  <w:abstractNum w:abstractNumId="66">
    <w:nsid w:val="73A1821B"/>
    <w:multiLevelType w:val="hybridMultilevel"/>
    <w:lvl w:ilvl="0">
      <w:lvlJc w:val="left"/>
      <w:lvlText w:val="(%1)"/>
      <w:numFmt w:val="lowerLetter"/>
      <w:start w:val="1"/>
    </w:lvl>
  </w:abstractNum>
  <w:abstractNum w:abstractNumId="67">
    <w:nsid w:val="7DE67713"/>
    <w:multiLevelType w:val="hybridMultilevel"/>
    <w:lvl w:ilvl="0">
      <w:lvlJc w:val="left"/>
      <w:lvlText w:val="%1"/>
      <w:numFmt w:val="lowerLetter"/>
      <w:start w:val="1"/>
    </w:lvl>
    <w:lvl w:ilvl="1">
      <w:lvlJc w:val="left"/>
      <w:lvlText w:val="(%2)"/>
      <w:numFmt w:val="lowerLetter"/>
      <w:start w:val="1"/>
    </w:lvl>
  </w:abstractNum>
  <w:abstractNum w:abstractNumId="68">
    <w:nsid w:val="555C55B5"/>
    <w:multiLevelType w:val="hybridMultilevel"/>
    <w:lvl w:ilvl="0">
      <w:lvlJc w:val="left"/>
      <w:lvlText w:val="(%1)"/>
      <w:numFmt w:val="lowerLetter"/>
      <w:start w:val="2"/>
    </w:lvl>
    <w:lvl w:ilvl="1">
      <w:lvlJc w:val="left"/>
      <w:lvlText w:val="%2"/>
      <w:numFmt w:val="lowerLetter"/>
      <w:start w:val="1"/>
    </w:lvl>
  </w:abstractNum>
  <w:abstractNum w:abstractNumId="69">
    <w:nsid w:val="3FA62ACA"/>
    <w:multiLevelType w:val="hybridMultilevel"/>
    <w:lvl w:ilvl="0">
      <w:lvlJc w:val="left"/>
      <w:lvlText w:val="(%1)"/>
      <w:numFmt w:val="lowerLetter"/>
      <w:start w:val="4"/>
    </w:lvl>
    <w:lvl w:ilvl="1">
      <w:lvlJc w:val="left"/>
      <w:lvlText w:val="(%2)"/>
      <w:numFmt w:val="lowerLetter"/>
      <w:start w:val="5"/>
    </w:lvl>
  </w:abstractNum>
  <w:abstractNum w:abstractNumId="70">
    <w:nsid w:val="14FCE74E"/>
    <w:multiLevelType w:val="hybridMultilevel"/>
    <w:lvl w:ilvl="0">
      <w:lvlJc w:val="left"/>
      <w:lvlText w:val="1"/>
      <w:numFmt w:val="bullet"/>
      <w:start w:val="1"/>
    </w:lvl>
  </w:abstractNum>
  <w:abstractNum w:abstractNumId="71">
    <w:nsid w:val="6A3DD3E8"/>
    <w:multiLevelType w:val="hybridMultilevel"/>
    <w:lvl w:ilvl="0">
      <w:lvlJc w:val="left"/>
      <w:lvlText w:val="(%1)"/>
      <w:numFmt w:val="lowerLetter"/>
      <w:start w:val="1"/>
    </w:lvl>
  </w:abstractNum>
  <w:abstractNum w:abstractNumId="72">
    <w:nsid w:val="71C91298"/>
    <w:multiLevelType w:val="hybridMultilevel"/>
    <w:lvl w:ilvl="0">
      <w:lvlJc w:val="left"/>
      <w:lvlText w:val="(%1)"/>
      <w:numFmt w:val="lowerLetter"/>
      <w:start w:val="1"/>
    </w:lvl>
  </w:abstractNum>
  <w:abstractNum w:abstractNumId="73">
    <w:nsid w:val="9DAF632"/>
    <w:multiLevelType w:val="hybridMultilevel"/>
    <w:lvl w:ilvl="0">
      <w:lvlJc w:val="left"/>
      <w:lvlText w:val="(%1)"/>
      <w:numFmt w:val="lowerLetter"/>
      <w:start w:val="1"/>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lowerLetter"/>
      <w:start w:val="1"/>
    </w:lvl>
    <w:lvl w:ilvl="1">
      <w:lvlJc w:val="left"/>
      <w:lvlText w:val="(%2)"/>
      <w:numFmt w:val="lowerLetter"/>
      <w:start w:val="1"/>
    </w:lvl>
  </w:abstractNum>
  <w:abstractNum w:abstractNumId="76">
    <w:nsid w:val="5092CA79"/>
    <w:multiLevelType w:val="hybridMultilevel"/>
    <w:lvl w:ilvl="0">
      <w:lvlJc w:val="left"/>
      <w:lvlText w:val="(%1)"/>
      <w:numFmt w:val="lowerLetter"/>
      <w:start w:val="2"/>
    </w:lvl>
    <w:lvl w:ilvl="1">
      <w:lvlJc w:val="left"/>
      <w:lvlText w:val="%2"/>
      <w:numFmt w:val="lowerLetter"/>
      <w:start w:val="1"/>
    </w:lvl>
  </w:abstractNum>
  <w:abstractNum w:abstractNumId="77">
    <w:nsid w:val="1D545C4D"/>
    <w:multiLevelType w:val="hybridMultilevel"/>
    <w:lvl w:ilvl="0">
      <w:lvlJc w:val="left"/>
      <w:lvlText w:val="(%1)"/>
      <w:numFmt w:val="lowerLetter"/>
      <w:start w:val="4"/>
    </w:lvl>
  </w:abstractNum>
  <w:abstractNum w:abstractNumId="78">
    <w:nsid w:val="59ADEA3D"/>
    <w:multiLevelType w:val="hybridMultilevel"/>
    <w:lvl w:ilvl="0">
      <w:lvlJc w:val="left"/>
      <w:lvlText w:val="(%1)"/>
      <w:numFmt w:val="lowerLetter"/>
      <w:start w:val="5"/>
    </w:lvl>
  </w:abstractNum>
  <w:abstractNum w:abstractNumId="79">
    <w:nsid w:val="288F1A34"/>
    <w:multiLevelType w:val="hybridMultilevel"/>
    <w:lvl w:ilvl="0">
      <w:lvlJc w:val="left"/>
      <w:lvlText w:val="(%1)"/>
      <w:numFmt w:val="lowerLetter"/>
      <w:start w:val="1"/>
    </w:lvl>
  </w:abstractNum>
  <w:abstractNum w:abstractNumId="80">
    <w:nsid w:val="2A155DBC"/>
    <w:multiLevelType w:val="hybridMultilevel"/>
    <w:lvl w:ilvl="0">
      <w:lvlJc w:val="left"/>
      <w:lvlText w:val="(%1)"/>
      <w:numFmt w:val="lowerLetter"/>
      <w:start w:val="1"/>
    </w:lvl>
  </w:abstractNum>
  <w:abstractNum w:abstractNumId="81">
    <w:nsid w:val="1D9F6E5F"/>
    <w:multiLevelType w:val="hybridMultilevel"/>
    <w:lvl w:ilvl="0">
      <w:lvlJc w:val="left"/>
      <w:lvlText w:val="(%1)"/>
      <w:numFmt w:val="lowerLetter"/>
      <w:start w:val="1"/>
    </w:lvl>
  </w:abstractNum>
  <w:abstractNum w:abstractNumId="82">
    <w:nsid w:val="97E1B4E"/>
    <w:multiLevelType w:val="hybridMultilevel"/>
    <w:lvl w:ilvl="0">
      <w:lvlJc w:val="left"/>
      <w:lvlText w:val="(%1)"/>
      <w:numFmt w:val="lowerLetter"/>
      <w:start w:val="1"/>
    </w:lvl>
  </w:abstractNum>
  <w:abstractNum w:abstractNumId="83">
    <w:nsid w:val="51088277"/>
    <w:multiLevelType w:val="hybridMultilevel"/>
    <w:lvl w:ilvl="0">
      <w:lvlJc w:val="left"/>
      <w:lvlText w:val="1"/>
      <w:numFmt w:val="bullet"/>
      <w:start w:val="1"/>
    </w:lvl>
  </w:abstractNum>
  <w:abstractNum w:abstractNumId="84">
    <w:nsid w:val="1CA0C5FA"/>
    <w:multiLevelType w:val="hybridMultilevel"/>
    <w:lvl w:ilvl="0">
      <w:lvlJc w:val="left"/>
      <w:lvlText w:val="(%1)"/>
      <w:numFmt w:val="lowerLetter"/>
      <w:start w:val="1"/>
    </w:lvl>
  </w:abstractNum>
  <w:abstractNum w:abstractNumId="85">
    <w:nsid w:val="53584BCB"/>
    <w:multiLevelType w:val="hybridMultilevel"/>
    <w:lvl w:ilvl="0">
      <w:lvlJc w:val="left"/>
      <w:lvlText w:val="(%1)"/>
      <w:numFmt w:val="lowerLetter"/>
      <w:start w:val="1"/>
    </w:lvl>
  </w:abstractNum>
  <w:abstractNum w:abstractNumId="86">
    <w:nsid w:val="415E286C"/>
    <w:multiLevelType w:val="hybridMultilevel"/>
    <w:lvl w:ilvl="0">
      <w:lvlJc w:val="left"/>
      <w:lvlText w:val="(%1)"/>
      <w:numFmt w:val="lowerLetter"/>
      <w:start w:val="1"/>
    </w:lvl>
  </w:abstractNum>
  <w:abstractNum w:abstractNumId="87">
    <w:nsid w:val="7C58FD05"/>
    <w:multiLevelType w:val="hybridMultilevel"/>
    <w:lvl w:ilvl="0">
      <w:lvlJc w:val="left"/>
      <w:lvlText w:val="(%1)"/>
      <w:numFmt w:val="lowerLetter"/>
      <w:start w:val="6"/>
    </w:lvl>
  </w:abstractNum>
  <w:abstractNum w:abstractNumId="88">
    <w:nsid w:val="23D86AAC"/>
    <w:multiLevelType w:val="hybridMultilevel"/>
    <w:lvl w:ilvl="0">
      <w:lvlJc w:val="left"/>
      <w:lvlText w:val="(%1)"/>
      <w:numFmt w:val="lowerLetter"/>
      <w:start w:val="1"/>
    </w:lvl>
  </w:abstractNum>
  <w:abstractNum w:abstractNumId="89">
    <w:nsid w:val="45E6D486"/>
    <w:multiLevelType w:val="hybridMultilevel"/>
    <w:lvl w:ilvl="0">
      <w:lvlJc w:val="left"/>
      <w:lvlText w:val="(%1)"/>
      <w:numFmt w:val="lowerLetter"/>
      <w:start w:val="1"/>
    </w:lvl>
    <w:lvl w:ilvl="1">
      <w:lvlJc w:val="left"/>
      <w:lvlText w:val="(%2)"/>
      <w:numFmt w:val="lowerLetter"/>
      <w:start w:val="2"/>
    </w:lvl>
  </w:abstractNum>
  <w:abstractNum w:abstractNumId="90">
    <w:nsid w:val="5C10FE21"/>
    <w:multiLevelType w:val="hybridMultilevel"/>
    <w:lvl w:ilvl="0">
      <w:lvlJc w:val="left"/>
      <w:lvlText w:val="%1."/>
      <w:numFmt w:val="decimal"/>
      <w:start w:val="1"/>
    </w:lvl>
  </w:abstractNum>
  <w:abstractNum w:abstractNumId="91">
    <w:nsid w:val="E7FFA2B"/>
    <w:multiLevelType w:val="hybridMultilevel"/>
    <w:lvl w:ilvl="0">
      <w:lvlJc w:val="left"/>
      <w:lvlText w:val="%1."/>
      <w:numFmt w:val="decimal"/>
      <w:start w:val="2"/>
    </w:lvl>
    <w:lvl w:ilvl="1">
      <w:lvlJc w:val="left"/>
      <w:lvlText w:val="(%2)"/>
      <w:numFmt w:val="lowerLetter"/>
      <w:start w:val="1"/>
    </w:lvl>
  </w:abstractNum>
  <w:abstractNum w:abstractNumId="92">
    <w:nsid w:val="3C5991AA"/>
    <w:multiLevelType w:val="hybridMultilevel"/>
    <w:lvl w:ilvl="0">
      <w:lvlJc w:val="left"/>
      <w:lvlText w:val="%1."/>
      <w:numFmt w:val="decimal"/>
      <w:start w:val="4"/>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decimal"/>
      <w:start w:val="1"/>
    </w:lvl>
    <w:lvl w:ilvl="1">
      <w:lvlJc w:val="left"/>
      <w:lvlText w:val="%2."/>
      <w:numFmt w:val="decimal"/>
      <w:start w:val="1"/>
    </w:lvl>
  </w:abstractNum>
  <w:abstractNum w:abstractNumId="95">
    <w:nsid w:val="39B7AAA2"/>
    <w:multiLevelType w:val="hybridMultilevel"/>
    <w:lvl w:ilvl="0">
      <w:lvlJc w:val="left"/>
      <w:lvlText w:val="%1."/>
      <w:numFmt w:val="decimal"/>
      <w:start w:val="2"/>
    </w:lvl>
    <w:lvl w:ilvl="1">
      <w:lvlJc w:val="left"/>
      <w:lvlText w:val="%2"/>
      <w:numFmt w:val="decimal"/>
      <w:start w:val="1"/>
    </w:lvl>
  </w:abstractNum>
  <w:abstractNum w:abstractNumId="96">
    <w:nsid w:val="2B0D8DBE"/>
    <w:multiLevelType w:val="hybridMultilevel"/>
    <w:lvl w:ilvl="0">
      <w:lvlJc w:val="left"/>
      <w:lvlText w:val="%1."/>
      <w:numFmt w:val="decimal"/>
      <w:start w:val="1"/>
    </w:lvl>
  </w:abstractNum>
  <w:abstractNum w:abstractNumId="97">
    <w:nsid w:val="6C80EC70"/>
    <w:multiLevelType w:val="hybridMultilevel"/>
    <w:lvl w:ilvl="0">
      <w:lvlJc w:val="left"/>
      <w:lvlText w:val="%1."/>
      <w:numFmt w:val="decimal"/>
      <w:start w:val="2"/>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1."/>
      <w:numFmt w:val="decimal"/>
      <w:start w:val="2"/>
    </w:lvl>
  </w:abstractNum>
  <w:abstractNum w:abstractNumId="100">
    <w:nsid w:val="2C27173B"/>
    <w:multiLevelType w:val="hybridMultilevel"/>
    <w:lvl w:ilvl="0">
      <w:lvlJc w:val="left"/>
      <w:lvlText w:val="%1."/>
      <w:numFmt w:val="decimal"/>
      <w:start w:val="4"/>
    </w:lvl>
  </w:abstractNum>
  <w:abstractNum w:abstractNumId="101">
    <w:nsid w:val="4C9B0904"/>
    <w:multiLevelType w:val="hybridMultilevel"/>
    <w:lvl w:ilvl="0">
      <w:lvlJc w:val="left"/>
      <w:lvlText w:val="%1."/>
      <w:numFmt w:val="decimal"/>
      <w:start w:val="1"/>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2"/>
    </w:lvl>
  </w:abstractNum>
  <w:abstractNum w:abstractNumId="104">
    <w:nsid w:val="5675FF36"/>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05">
    <w:nsid w:val="3DD15094"/>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106">
    <w:nsid w:val="3DB012B3"/>
    <w:multiLevelType w:val="hybridMultilevel"/>
    <w:lvl w:ilvl="0">
      <w:lvlJc w:val="left"/>
      <w:lvlText w:val="(%1)"/>
      <w:numFmt w:val="lowerLetter"/>
      <w:start w:val="1"/>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1."/>
      <w:numFmt w:val="decimal"/>
      <w:start w:val="1"/>
    </w:lvl>
    <w:lvl w:ilvl="1">
      <w:lvlJc w:val="left"/>
      <w:lvlText w:val="%2."/>
      <w:numFmt w:val="decimal"/>
      <w:start w:val="2"/>
    </w:lvl>
  </w:abstractNum>
  <w:abstractNum w:abstractNumId="109">
    <w:nsid w:val="175DFCF0"/>
    <w:multiLevelType w:val="hybridMultilevel"/>
    <w:lvl w:ilvl="0">
      <w:lvlJc w:val="left"/>
      <w:lvlText w:val="%1."/>
      <w:numFmt w:val="decimal"/>
      <w:start w:val="1"/>
    </w:lvl>
  </w:abstractNum>
  <w:abstractNum w:abstractNumId="110">
    <w:nsid w:val="4F97E3E4"/>
    <w:multiLevelType w:val="hybridMultilevel"/>
    <w:lvl w:ilvl="0">
      <w:lvlJc w:val="left"/>
      <w:lvlText w:val="%1."/>
      <w:numFmt w:val="decimal"/>
      <w:start w:val="2"/>
    </w:lvl>
  </w:abstractNum>
  <w:abstractNum w:abstractNumId="111">
    <w:nsid w:val="53B0A9E"/>
    <w:multiLevelType w:val="hybridMultilevel"/>
    <w:lvl w:ilvl="0">
      <w:lvlJc w:val="left"/>
      <w:lvlText w:val="%1."/>
      <w:numFmt w:val="decimal"/>
      <w:start w:val="1"/>
    </w:lvl>
  </w:abstractNum>
  <w:abstractNum w:abstractNumId="112">
    <w:nsid w:val="34FD6B4F"/>
    <w:multiLevelType w:val="hybridMultilevel"/>
    <w:lvl w:ilvl="0">
      <w:lvlJc w:val="left"/>
      <w:lvlText w:val="(%1)"/>
      <w:numFmt w:val="lowerLetter"/>
      <w:start w:val="2"/>
    </w:lvl>
  </w:abstractNum>
  <w:abstractNum w:abstractNumId="113">
    <w:nsid w:val="5915FF32"/>
    <w:multiLevelType w:val="hybridMultilevel"/>
    <w:lvl w:ilvl="0">
      <w:lvlJc w:val="left"/>
      <w:lvlText w:val="%1."/>
      <w:numFmt w:val="decimal"/>
      <w:start w:val="1"/>
    </w:lvl>
    <w:lvl w:ilvl="1">
      <w:lvlJc w:val="left"/>
      <w:lvlText w:val="%2."/>
      <w:numFmt w:val="decimal"/>
      <w:start w:val="2"/>
    </w:lvl>
  </w:abstractNum>
  <w:abstractNum w:abstractNumId="114">
    <w:nsid w:val="56438D15"/>
    <w:multiLevelType w:val="hybridMultilevel"/>
    <w:lvl w:ilvl="0">
      <w:lvlJc w:val="left"/>
      <w:lvlText w:val="%1."/>
      <w:numFmt w:val="decimal"/>
      <w:start w:val="3"/>
    </w:lvl>
  </w:abstractNum>
  <w:abstractNum w:abstractNumId="115">
    <w:nsid w:val="519E314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6">
    <w:nsid w:val="2C6E4AFD"/>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17">
    <w:nsid w:val="17A1B582"/>
    <w:multiLevelType w:val="hybridMultilevel"/>
    <w:lvl w:ilvl="0">
      <w:lvlJc w:val="left"/>
      <w:lvlText w:val="(%1)"/>
      <w:numFmt w:val="lowerLetter"/>
      <w:start w:val="4"/>
    </w:lvl>
  </w:abstractNum>
  <w:abstractNum w:abstractNumId="118">
    <w:nsid w:val="4DF72E4E"/>
    <w:multiLevelType w:val="hybridMultilevel"/>
    <w:lvl w:ilvl="0">
      <w:lvlJc w:val="left"/>
      <w:lvlText w:val="(%1)"/>
      <w:numFmt w:val="lowerLetter"/>
      <w:start w:val="1"/>
    </w:lvl>
  </w:abstractNum>
  <w:abstractNum w:abstractNumId="119">
    <w:nsid w:val="5046B5A9"/>
    <w:multiLevelType w:val="hybridMultilevel"/>
    <w:lvl w:ilvl="0">
      <w:lvlJc w:val="left"/>
      <w:lvlText w:val="(%1)"/>
      <w:numFmt w:val="lowerLetter"/>
      <w:start w:val="1"/>
    </w:lvl>
  </w:abstractNum>
  <w:abstractNum w:abstractNumId="120">
    <w:nsid w:val="5D888A08"/>
    <w:multiLevelType w:val="hybridMultilevel"/>
    <w:lvl w:ilvl="0">
      <w:lvlJc w:val="left"/>
      <w:lvlText w:val="(%1)"/>
      <w:numFmt w:val="lowerLetter"/>
      <w:start w:val="1"/>
    </w:lvl>
  </w:abstractNum>
  <w:abstractNum w:abstractNumId="121">
    <w:nsid w:val="2A082C70"/>
    <w:multiLevelType w:val="hybridMultilevel"/>
    <w:lvl w:ilvl="0">
      <w:lvlJc w:val="left"/>
      <w:lvlText w:val="(%1)"/>
      <w:numFmt w:val="lowerLetter"/>
      <w:start w:val="1"/>
    </w:lvl>
  </w:abstractNum>
  <w:abstractNum w:abstractNumId="122">
    <w:nsid w:val="5EC6AFD4"/>
    <w:multiLevelType w:val="hybridMultilevel"/>
    <w:lvl w:ilvl="0">
      <w:lvlJc w:val="left"/>
      <w:lvlText w:val="(%1)"/>
      <w:numFmt w:val="lowerLetter"/>
      <w:start w:val="1"/>
    </w:lvl>
  </w:abstractNum>
  <w:abstractNum w:abstractNumId="123">
    <w:nsid w:val="19E21BB2"/>
    <w:multiLevelType w:val="hybridMultilevel"/>
    <w:lvl w:ilvl="0">
      <w:lvlJc w:val="left"/>
      <w:lvlText w:val="(%1)"/>
      <w:numFmt w:val="lowerLetter"/>
      <w:start w:val="2"/>
    </w:lvl>
  </w:abstractNum>
  <w:abstractNum w:abstractNumId="124">
    <w:nsid w:val="75E0858A"/>
    <w:multiLevelType w:val="hybridMultilevel"/>
    <w:lvl w:ilvl="0">
      <w:lvlJc w:val="left"/>
      <w:lvlText w:val="1"/>
      <w:numFmt w:val="bullet"/>
      <w:start w:val="1"/>
    </w:lvl>
  </w:abstractNum>
  <w:abstractNum w:abstractNumId="125">
    <w:nsid w:val="57A61A29"/>
    <w:multiLevelType w:val="hybridMultilevel"/>
    <w:lvl w:ilvl="0">
      <w:lvlJc w:val="left"/>
      <w:lvlText w:val="(%1)"/>
      <w:numFmt w:val="lowerLetter"/>
      <w:start w:val="1"/>
    </w:lvl>
  </w:abstractNum>
  <w:abstractNum w:abstractNumId="126">
    <w:nsid w:val="5399C654"/>
    <w:multiLevelType w:val="hybridMultilevel"/>
    <w:lvl w:ilvl="0">
      <w:lvlJc w:val="left"/>
      <w:lvlText w:val="(%1)"/>
      <w:numFmt w:val="lowerLetter"/>
      <w:start w:val="1"/>
    </w:lvl>
  </w:abstractNum>
  <w:abstractNum w:abstractNumId="127">
    <w:nsid w:val="20EE1348"/>
    <w:multiLevelType w:val="hybridMultilevel"/>
    <w:lvl w:ilvl="0">
      <w:lvlJc w:val="left"/>
      <w:lvlText w:val="(%1)"/>
      <w:numFmt w:val="lowerLetter"/>
      <w:start w:val="1"/>
    </w:lvl>
  </w:abstractNum>
  <w:abstractNum w:abstractNumId="128">
    <w:nsid w:val="4427069A"/>
    <w:multiLevelType w:val="hybridMultilevel"/>
    <w:lvl w:ilvl="0">
      <w:lvlJc w:val="left"/>
      <w:lvlText w:val="(%1)"/>
      <w:numFmt w:val="lowerLetter"/>
      <w:start w:val="1"/>
    </w:lvl>
  </w:abstractNum>
  <w:abstractNum w:abstractNumId="129">
    <w:nsid w:val="B37E80A"/>
    <w:multiLevelType w:val="hybridMultilevel"/>
    <w:lvl w:ilvl="0">
      <w:lvlJc w:val="left"/>
      <w:lvlText w:val="%1"/>
      <w:numFmt w:val="lowerLetter"/>
      <w:start w:val="1"/>
    </w:lvl>
    <w:lvl w:ilvl="1">
      <w:lvlJc w:val="left"/>
      <w:lvlText w:val="(%2)"/>
      <w:numFmt w:val="lowerLetter"/>
      <w:start w:val="1"/>
    </w:lvl>
  </w:abstractNum>
  <w:abstractNum w:abstractNumId="130">
    <w:nsid w:val="2157F6BC"/>
    <w:multiLevelType w:val="hybridMultilevel"/>
    <w:lvl w:ilvl="0">
      <w:lvlJc w:val="left"/>
      <w:lvlText w:val="(%1)"/>
      <w:numFmt w:val="lowerLetter"/>
      <w:start w:val="2"/>
    </w:lvl>
    <w:lvl w:ilvl="1">
      <w:lvlJc w:val="left"/>
      <w:lvlText w:val="%2"/>
      <w:numFmt w:val="lowerLetter"/>
      <w:start w:val="1"/>
    </w:lvl>
  </w:abstractNum>
  <w:abstractNum w:abstractNumId="131">
    <w:nsid w:val="704E1DD5"/>
    <w:multiLevelType w:val="hybridMultilevel"/>
    <w:lvl w:ilvl="0">
      <w:lvlJc w:val="left"/>
      <w:lvlText w:val="(%1)"/>
      <w:numFmt w:val="lowerLetter"/>
      <w:start w:val="4"/>
    </w:lvl>
    <w:lvl w:ilvl="1">
      <w:lvlJc w:val="left"/>
      <w:lvlText w:val="(%2)"/>
      <w:numFmt w:val="lowerLetter"/>
      <w:start w:val="5"/>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7" Type="http://schemas.openxmlformats.org/officeDocument/2006/relationships/image" Target="media/image187.png"/><Relationship Id="rId199" Type="http://schemas.openxmlformats.org/officeDocument/2006/relationships/image" Target="media/image188.png"/><Relationship Id="rId203" Type="http://schemas.openxmlformats.org/officeDocument/2006/relationships/image" Target="media/image189.png"/><Relationship Id="rId205" Type="http://schemas.openxmlformats.org/officeDocument/2006/relationships/image" Target="media/image190.png"/><Relationship Id="rId207" Type="http://schemas.openxmlformats.org/officeDocument/2006/relationships/image" Target="media/image191.png"/><Relationship Id="rId210" Type="http://schemas.openxmlformats.org/officeDocument/2006/relationships/image" Target="media/image192.png"/><Relationship Id="rId218" Type="http://schemas.openxmlformats.org/officeDocument/2006/relationships/image" Target="media/image193.png"/><Relationship Id="rId220" Type="http://schemas.openxmlformats.org/officeDocument/2006/relationships/image" Target="media/image194.png"/><Relationship Id="rId222" Type="http://schemas.openxmlformats.org/officeDocument/2006/relationships/image" Target="media/image195.png"/><Relationship Id="rId239"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194" Type="http://schemas.openxmlformats.org/officeDocument/2006/relationships/hyperlink" Target="https://www.sec.gov/Archives/edgar/data/1828016/000119312521012535/d248640dex31.htm" TargetMode="External"/><Relationship Id="rId195" Type="http://schemas.openxmlformats.org/officeDocument/2006/relationships/hyperlink" Target="https://www.sec.gov/Archives/edgar/data/1828016/000119312524030191/d773991dex31.htm" TargetMode="External"/><Relationship Id="rId196" Type="http://schemas.openxmlformats.org/officeDocument/2006/relationships/hyperlink" Target="https://www.sec.gov/Archives/edgar/data/1828016/000119312520321440/d55817dex41.htm" TargetMode="External"/><Relationship Id="rId198" Type="http://schemas.openxmlformats.org/officeDocument/2006/relationships/hyperlink" Target="https://www.sec.gov/Archives/edgar/data/1828016/000119312520321440/d55817dex42.htm" TargetMode="External"/><Relationship Id="rId200" Type="http://schemas.openxmlformats.org/officeDocument/2006/relationships/hyperlink" Target="https://www.sec.gov/Archives/edgar/data/1828016/000119312521012535/d248640dex41.htm" TargetMode="External"/><Relationship Id="rId201" Type="http://schemas.openxmlformats.org/officeDocument/2006/relationships/hyperlink" Target="https://www.sec.gov/Archives/edgar/data/1828016/000182801621000014/a2020q4exhibit44.htm" TargetMode="External"/><Relationship Id="rId202" Type="http://schemas.openxmlformats.org/officeDocument/2006/relationships/hyperlink" Target="https://www.sec.gov/Archives/edgar/data/1828016/000119312521077902/d144587dex41.htm" TargetMode="External"/><Relationship Id="rId204" Type="http://schemas.openxmlformats.org/officeDocument/2006/relationships/hyperlink" Target="https://www.sec.gov/Archives/edgar/data/1828016/000182801621000046/exhibit41-playtikafirstsup.htm" TargetMode="External"/><Relationship Id="rId206" Type="http://schemas.openxmlformats.org/officeDocument/2006/relationships/hyperlink" Target="https://www.sec.gov/Archives/edgar/data/1828016/000119312522191356/d368765dex41.htm" TargetMode="External"/><Relationship Id="rId208" Type="http://schemas.openxmlformats.org/officeDocument/2006/relationships/hyperlink" Target="https://www.sec.gov/Archives/edgar/data/1828016/000119312520321440/d55817dex1024.htm" TargetMode="External"/><Relationship Id="rId209" Type="http://schemas.openxmlformats.org/officeDocument/2006/relationships/hyperlink" Target="https://www.sec.gov/Archives/edgar/data/1828016/000119312520321440/d55817dex1025.htm" TargetMode="External"/><Relationship Id="rId211" Type="http://schemas.openxmlformats.org/officeDocument/2006/relationships/hyperlink" Target="https://www.sec.gov/Archives/edgar/data/1828016/000119312521003653/d55817dex1026.htm" TargetMode="External"/><Relationship Id="rId212" Type="http://schemas.openxmlformats.org/officeDocument/2006/relationships/hyperlink" Target="https://www.sec.gov/Archives/edgar/data/1828016/000119312521012535/d248640dex101.htm" TargetMode="External"/><Relationship Id="rId213" Type="http://schemas.openxmlformats.org/officeDocument/2006/relationships/hyperlink" Target="https://www.sec.gov/Archives/edgar/data/1828016/000119312521077902/d144587dex101.htm" TargetMode="External"/><Relationship Id="rId214" Type="http://schemas.openxmlformats.org/officeDocument/2006/relationships/hyperlink" Target="https://www.sec.gov/Archives/edgar/data/1828016/000182801623000030/playtika-thirdamendmentter.htm" TargetMode="External"/><Relationship Id="rId215" Type="http://schemas.openxmlformats.org/officeDocument/2006/relationships/hyperlink" Target="https://www.sec.gov/Archives/edgar/data/1828016/000119312525097703/d886426dex101.htm" TargetMode="External"/><Relationship Id="rId216" Type="http://schemas.openxmlformats.org/officeDocument/2006/relationships/hyperlink" Target="https://www.sec.gov/ix?doc=/Archives/edgar/data/0001828016/000119312526053112/d46878d8k.htm" TargetMode="External"/><Relationship Id="rId217" Type="http://schemas.openxmlformats.org/officeDocument/2006/relationships/hyperlink" Target="https://www.sec.gov/Archives/edgar/data/1828016/000119312520321440/d55817dex101.htm" TargetMode="External"/><Relationship Id="rId219" Type="http://schemas.openxmlformats.org/officeDocument/2006/relationships/hyperlink" Target="https://www.sec.gov/Archives/edgar/data/1828016/000119312521003653/d55817dex1023.htm" TargetMode="External"/><Relationship Id="rId221" Type="http://schemas.openxmlformats.org/officeDocument/2006/relationships/hyperlink" Target="https://www.sec.gov/Archives/edgar/data/1828016/000119312523235641/d528250dex21.htm" TargetMode="External"/><Relationship Id="rId223" Type="http://schemas.openxmlformats.org/officeDocument/2006/relationships/hyperlink" Target="https://www.sec.gov/Archives/edgar/data/1828016/000182801624000029/a202406181stamendmenttospa.htm" TargetMode="External"/><Relationship Id="rId224" Type="http://schemas.openxmlformats.org/officeDocument/2006/relationships/hyperlink" Target="https://www.sec.gov/Archives/edgar/data/0001828016/000119312524222929/d805515dex21.htm" TargetMode="External"/><Relationship Id="rId225" Type="http://schemas.openxmlformats.org/officeDocument/2006/relationships/hyperlink" Target="https://www.sec.gov/Archives/edgar/data/1828016/000182801625000038/smart2ndamendmenttospa-fin.htm" TargetMode="External"/><Relationship Id="rId226" Type="http://schemas.openxmlformats.org/officeDocument/2006/relationships/hyperlink" Target="https://www.sec.gov/Archives/edgar/data/1828016/000119312520321440/d55817dex1017.htm" TargetMode="External"/><Relationship Id="rId227" Type="http://schemas.openxmlformats.org/officeDocument/2006/relationships/hyperlink" Target="https://www.sec.gov/Archives/edgar/data/1828016/000119312520321440/d55817dex1018.htm" TargetMode="External"/><Relationship Id="rId228" Type="http://schemas.openxmlformats.org/officeDocument/2006/relationships/hyperlink" Target="https://www.sec.gov/Archives/edgar/data/1828016/000119312520321440/d55817dex1021.htm" TargetMode="External"/><Relationship Id="rId229" Type="http://schemas.openxmlformats.org/officeDocument/2006/relationships/hyperlink" Target="https://www.sec.gov/Archives/edgar/data/1828016/000119312520321440/d55817dex1022.htm" TargetMode="External"/><Relationship Id="rId230" Type="http://schemas.openxmlformats.org/officeDocument/2006/relationships/hyperlink" Target="https://www.sec.gov/Archives/edgar/data/1828016/000119312520321440/d55817dex1027.htm" TargetMode="External"/><Relationship Id="rId231" Type="http://schemas.openxmlformats.org/officeDocument/2006/relationships/hyperlink" Target="https://www.sec.gov/Archives/edgar/data/1828016/000182801623000011/amendmenttoemploymentagree.htm" TargetMode="External"/><Relationship Id="rId232" Type="http://schemas.openxmlformats.org/officeDocument/2006/relationships/hyperlink" Target="https://www.sec.gov/Archives/edgar/data/1828016/000182801625000026/robertantokol-amendement2t.htm" TargetMode="External"/><Relationship Id="rId233" Type="http://schemas.openxmlformats.org/officeDocument/2006/relationships/hyperlink" Target="https://www.sec.gov/Archives/edgar/data/1828016/000119312520321440/d55817dex1029.htm" TargetMode="External"/><Relationship Id="rId234" Type="http://schemas.openxmlformats.org/officeDocument/2006/relationships/hyperlink" Target="https://www.sec.gov/Archives/edgar/data/1828016/000182801623000023/playtikaltdemploymentagree.htm" TargetMode="External"/><Relationship Id="rId235" Type="http://schemas.openxmlformats.org/officeDocument/2006/relationships/hyperlink" Target="https://www.sec.gov/Archives/edgar/data/1828016/000182801624000029/ex101rubinemploymentagreem.htm" TargetMode="External"/><Relationship Id="rId236" Type="http://schemas.openxmlformats.org/officeDocument/2006/relationships/hyperlink" Target="https://www.sec.gov/Archives/edgar/data/1828016/000182801624000029/ex102sandleremploymentagre.htm" TargetMode="External"/><Relationship Id="rId237" Type="http://schemas.openxmlformats.org/officeDocument/2006/relationships/hyperlink" Target="https://www.sec.gov/Archives/edgar/data/1828016/000182801625000026/amendmenttoemploymentagree.htm" TargetMode="External"/><Relationship Id="rId238" Type="http://schemas.openxmlformats.org/officeDocument/2006/relationships/hyperlink" Target="https://www.sec.gov/Archives/edgar/data/1828016/000182801625000011/playtika-insidertradingcom.htm" TargetMode="External"/><Relationship Id="rId240" Type="http://schemas.openxmlformats.org/officeDocument/2006/relationships/hyperlink" Target="https://www.sec.gov/ix?doc=/Archives/edgar/data/1828016/000182801624000006/playtika-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2026-02-26T07:44:00Z</dcterms:created>
  <dcterms:modified xsi:type="dcterms:W3CDTF">2026-02-26T07:44:00Z</dcterms:modified>
</cp:coreProperties>
</file>