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color w:val="000000"/>
          <w:sz w:val="24"/>
        </w:rPr>
        <w:t>Date of Report (Date of earliest event reported):</w:t>
      </w:r>
      <w:r>
        <w:rPr>
          <w:color w:val="000000"/>
        </w:rPr>
        <w:t xml:space="preserve"> </w:t>
      </w:r>
      <w:r>
        <w:rPr>
          <w:rFonts w:ascii="Times New Roman;serif" w:hAnsi="Times New Roman;serif"/>
          <w:b w:val="false"/>
          <w:color w:val="000000"/>
          <w:sz w:val="24"/>
        </w:rPr>
        <w:t>August 6,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 File Number: 001-39896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PLAYTIKA HOLDING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4376" w:type="dxa"/>
        <w:jc w:val="center"/>
        <w:tblInd w:w="0" w:type="dxa"/>
        <w:tblLayout w:type="fixed"/>
        <w:tblCellMar>
          <w:top w:w="28" w:type="dxa"/>
          <w:left w:w="28" w:type="dxa"/>
          <w:bottom w:w="28" w:type="dxa"/>
          <w:right w:w="28" w:type="dxa"/>
        </w:tblCellMar>
      </w:tblPr>
      <w:tblGrid>
        <w:gridCol w:w="927"/>
        <w:gridCol w:w="814"/>
        <w:gridCol w:w="824"/>
        <w:gridCol w:w="109"/>
        <w:gridCol w:w="109"/>
        <w:gridCol w:w="109"/>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81-3634591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1890" w:type="dxa"/>
        <w:jc w:val="center"/>
        <w:tblInd w:w="0" w:type="dxa"/>
        <w:tblLayout w:type="fixed"/>
        <w:tblCellMar>
          <w:top w:w="28" w:type="dxa"/>
          <w:left w:w="28" w:type="dxa"/>
          <w:bottom w:w="28" w:type="dxa"/>
          <w:right w:w="28" w:type="dxa"/>
        </w:tblCellMar>
      </w:tblPr>
      <w:tblGrid>
        <w:gridCol w:w="605"/>
        <w:gridCol w:w="530"/>
        <w:gridCol w:w="755"/>
      </w:tblGrid>
      <w:tr>
        <w:trPr/>
        <w:tc>
          <w:tcPr>
            <w:tcW w:w="60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 Playtika Ltd.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HaChoshlim St 8</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Herzliya Pituach, Israel</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972-73-316-3251</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52" w:type="dxa"/>
        <w:jc w:val="center"/>
        <w:tblInd w:w="0" w:type="dxa"/>
        <w:tblLayout w:type="fixed"/>
        <w:tblCellMar>
          <w:top w:w="28" w:type="dxa"/>
          <w:left w:w="28" w:type="dxa"/>
          <w:bottom w:w="28" w:type="dxa"/>
          <w:right w:w="28" w:type="dxa"/>
        </w:tblCellMar>
      </w:tblPr>
      <w:tblGrid>
        <w:gridCol w:w="862"/>
        <w:gridCol w:w="756"/>
        <w:gridCol w:w="766"/>
        <w:gridCol w:w="484"/>
        <w:gridCol w:w="484"/>
        <w:gridCol w:w="48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38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45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PLTK</w:t>
            </w:r>
          </w:p>
        </w:tc>
        <w:tc>
          <w:tcPr>
            <w:tcW w:w="33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Playtika Holding Corp. issued a press release announcing its financial results for the quarter ended June 30, 2026. A copy of the press release is furnished herewith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including Exhibit 99.1,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378"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17"/>
        <w:gridCol w:w="1917"/>
        <w:gridCol w:w="273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q2ex991-earningsrelea.htm">
              <w:r>
                <w:rPr>
                  <w:rStyle w:val="InternetLink"/>
                  <w:rFonts w:ascii="Times New Roman;serif" w:hAnsi="Times New Roman;serif"/>
                  <w:b w:val="false"/>
                  <w:color w:val="0000FF"/>
                  <w:sz w:val="20"/>
                  <w:u w:val="single"/>
                </w:rPr>
                <w:t>Press Release dated August 6, 2026</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pltkq22026earningspresen.htm">
              <w:r>
                <w:rPr>
                  <w:rStyle w:val="InternetLink"/>
                  <w:rFonts w:ascii="Times New Roman;serif" w:hAnsi="Times New Roman;serif"/>
                  <w:b w:val="false"/>
                  <w:color w:val="0000FF"/>
                  <w:sz w:val="20"/>
                  <w:u w:val="single"/>
                </w:rPr>
                <w:t>Second Quarter 2026 Earnings Presentation</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905" w:type="dxa"/>
        <w:jc w:val="left"/>
        <w:tblInd w:w="0" w:type="dxa"/>
        <w:tblLayout w:type="fixed"/>
        <w:tblCellMar>
          <w:top w:w="28" w:type="dxa"/>
          <w:left w:w="28" w:type="dxa"/>
          <w:bottom w:w="28" w:type="dxa"/>
          <w:right w:w="28" w:type="dxa"/>
        </w:tblCellMar>
      </w:tblPr>
      <w:tblGrid>
        <w:gridCol w:w="831"/>
        <w:gridCol w:w="736"/>
        <w:gridCol w:w="743"/>
        <w:gridCol w:w="760"/>
        <w:gridCol w:w="760"/>
        <w:gridCol w:w="1075"/>
      </w:tblGrid>
      <w:tr>
        <w:trPr/>
        <w:tc>
          <w:tcPr>
            <w:tcW w:w="8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PLAYTIKA HOLDING CORP.</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Tae Lee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Tae Lee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as of August 6, 2026</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Playtika Holding Corp. Reports Q2 2026 Financial Results</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Revenue of $731.1 million and Direct-to-Consumer (“DTC”) Revenue of $286.9 million</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Revenue Decreased (1.8)% Sequentially and Increased 5.0% Year Over Year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DTC Platforms Revenue Decreased (1.7)% Sequentially and Increased 63.1% Year Over Year</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Herzliya, Israel - August 6, 2026</w:t>
      </w:r>
      <w:r>
        <w:rPr>
          <w:color w:val="000000"/>
        </w:rPr>
        <w:t xml:space="preserve"> </w:t>
      </w:r>
      <w:r>
        <w:rPr>
          <w:rFonts w:ascii="Times New Roman;serif" w:hAnsi="Times New Roman;serif"/>
          <w:b w:val="false"/>
          <w:color w:val="000000"/>
          <w:sz w:val="20"/>
        </w:rPr>
        <w:t>- Playtika Holding Corp. (NASDAQ: PLTK) today released financial results for its second quarter for the period ending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of $731.1 million decreased (1.8)% sequentially and increased 5.0% year over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DTC platforms revenue of $286.9 million decreased (1.7)% sequentially and increased 63.1% year over 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Net Income of $48.0 million and Adjusted Net Income of $53.6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of $206.1 million increased 64.6% sequentially and 23.4% year over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cash equivalents, and short-term investments totaled $438.5 million as of June 30, 2026.</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Our second quarter results demonstrate what has always been at the heart of Playtika, we build games that keep players engaged for years, not quarters,” said Robert Antokol, Chief Executive Officer. “Disney Solitaire grew again this quarter even as we reduced our marketing investment and our margins expanded meaningfully. These results reflect the durability of our model and the discipline of our execution.”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Our second quarter reflected the investment cadence we outlined last quarter, marketing stepped down materially, margins expanded, and SuperPlay became a positive Adjusted EBITDA contributor,” said Tae Lee,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Selected Operational Metrics and Business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Average Daily Paying Users of 367K decreased (5.2)% sequentially and (2.9)% year over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Average Payer Conversion of 4.6%, up from 4.5% in Q1 2026 and 4.3% in Q2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Bingo Blitz revenue of $145.1 million decreased (5.6)% sequentially and (9.5)% year over 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Disney Solitaire revenue of $142.4 million increased 15.5% sequentially and 288.6% year over 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June’s Journey revenue of $74.7 million decreased (1.7)% sequentially and increased 8.1% year over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Financial Outlook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are reaffirming our full-year 2026 guidance ranges of $2.75 - $2.85 billion in revenue and $750 - $790 million in Adjusted EBITDA. Based on current trends, including a more cautious view of consumer spending and the planned step-down in second-half marketing investment, we currently expect full-year results to finish toward the lower end of both ranges.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Playtika management will host a conference call at 5:30 a.m. Pacific Time (8:30 a.m. Eastern Time) today to discuss the company’s results. The conference call can be accessed via a webcast accessible at investors.playtika.com. A replay of the call will be available through the website one hour following the call and will be archived for one year.</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Summary Operating Results of Playtika Holding Corp.</w:t>
      </w:r>
    </w:p>
    <w:p>
      <w:pPr>
        <w:pStyle w:val="TextBody"/>
        <w:bidi w:val="0"/>
        <w:spacing w:before="0" w:after="0"/>
        <w:jc w:val="left"/>
        <w:rPr/>
      </w:pPr>
      <w:r>
        <w:rPr/>
      </w:r>
    </w:p>
    <w:tbl>
      <w:tblPr>
        <w:tblW w:w="10143" w:type="dxa"/>
        <w:jc w:val="left"/>
        <w:tblInd w:w="0" w:type="dxa"/>
        <w:tblLayout w:type="fixed"/>
        <w:tblCellMar>
          <w:top w:w="28" w:type="dxa"/>
          <w:left w:w="28" w:type="dxa"/>
          <w:bottom w:w="28" w:type="dxa"/>
          <w:right w:w="28" w:type="dxa"/>
        </w:tblCellMar>
      </w:tblPr>
      <w:tblGrid>
        <w:gridCol w:w="1743"/>
        <w:gridCol w:w="1534"/>
        <w:gridCol w:w="1538"/>
        <w:gridCol w:w="196"/>
        <w:gridCol w:w="556"/>
        <w:gridCol w:w="256"/>
        <w:gridCol w:w="109"/>
        <w:gridCol w:w="109"/>
        <w:gridCol w:w="109"/>
        <w:gridCol w:w="196"/>
        <w:gridCol w:w="556"/>
        <w:gridCol w:w="256"/>
        <w:gridCol w:w="109"/>
        <w:gridCol w:w="109"/>
        <w:gridCol w:w="109"/>
        <w:gridCol w:w="196"/>
        <w:gridCol w:w="691"/>
        <w:gridCol w:w="256"/>
        <w:gridCol w:w="109"/>
        <w:gridCol w:w="109"/>
        <w:gridCol w:w="109"/>
        <w:gridCol w:w="196"/>
        <w:gridCol w:w="691"/>
        <w:gridCol w:w="301"/>
      </w:tblGrid>
      <w:tr>
        <w:trPr/>
        <w:tc>
          <w:tcPr>
            <w:tcW w:w="174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millions, except percentages, Average DPUs, and ARPDAU)</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Non-financial performance metrics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DAUs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DPUs (in thousands)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Daily Payer Conversion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ARPDAU</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MAUs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Playtika Holding Corp.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Playtika (NASDAQ: PLTK) is a mobile gaming entertainment and technology market leader with a portfolio of multiple game titles. Founded in 2010, Playtika was among the first to offer free-to-play social games on social networks and, shortly after, on mobile platforms. Headquartered in Herzliya, Israel, and guided by a mission to entertain the world through infinite ways to play, Playtika has employees across offices worldwide.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 Looking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U.S. Private Securities Litigation Reform Act of 1995 and Section 21E of the Exchange Act. All statements other than statements of historical facts contained in this press release, including statements regarding our business strategy, plans and our objectives for future operations, are forward-looking statements. Further, statements that include words such as “anticipate,” “believe,” “continue,” “could,” “estimate,” “expect,” “future,” “intend,” “intent,” “may,” “might,” “potential,” “present,” “preserve,” “project,” “pursue,” “should,” “will,” or “would,” or the negative of these words or other words or expressions of similar meaning may identify forward-looking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risks and uncertainties discussed in our filings with the Securities and Exchange Commission.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press release may not occur and actual results could differ materially and adversely from those anticipated, predicted or implied in the forward-looking statements.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that could cause actual results to differ materially from estimates or projections contained in the forward-looking statements include without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of our majority shareholder or other third parties that influence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reliance on third-party platforms, such as the iOS App Store and Google Play Store, to distribute our games and collect revenues, and the risk that such platforms may adversely change their policies;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reliance on a limited number of games to generate the majority of our revenue;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reliance on a small percentage of total users to generate a majority of our revenue;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free-to-play business model, and the value of virtual items sold in our games, is highly dependent on how we manage the game revenues and pricing models;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refinance our indebtedness, including, without limitation, our $550 million revolving credit facility which is set to expire in March 2027, or to obtain additional financing on favorable terms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identify acquisition targets that fit our strategy or complete acquisitions and integrate any acquired businesses successfully or realize the anticipated benefits of such acquisitions could limit our growth, disrupt our plans and operations or impact the amount of capital allocated to mergers and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compete in a highly competitive industry with low barriers to entry;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retain existing players, attract new players and increase the monetization of our player base;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develop and/or launch new products and content or otherwise execute against our product roadmap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have significant indebtedness and are subject to the obligations and restrictive covenants under our debt instruments;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an economic recession or periods of increased inflation, and any reductions to household spending on the types of discretionary entertainment we offer;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controlled company status;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legal or regulatory restrictions or proceedings could adversely impact our business and limit the growth of our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risks related to our international operations and ownership, including our significant operations in Israel and Ukraine and the fact that our controlling stockholder is a Chinese-owned company;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geopolitical events such as the Wars in Israel and Ukraine;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reliance on key personnel;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market conditions or other factors affecting the payment of dividends, including the decision whether or not to pay a dividend;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uncertainties regarding the amount and timing of repurchases under our stock repurchase program;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security breaches or other disruptions could compromise our information or our players’ information and expose us to liability;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protect our intellectual property and proprietary information could adversely impact our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PLAYTIKA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2988"/>
        <w:gridCol w:w="2370"/>
        <w:gridCol w:w="2359"/>
        <w:gridCol w:w="202"/>
        <w:gridCol w:w="714"/>
        <w:gridCol w:w="112"/>
        <w:gridCol w:w="109"/>
        <w:gridCol w:w="109"/>
        <w:gridCol w:w="109"/>
        <w:gridCol w:w="212"/>
        <w:gridCol w:w="750"/>
        <w:gridCol w:w="171"/>
      </w:tblGrid>
      <w:tr>
        <w:trPr/>
        <w:tc>
          <w:tcPr>
            <w:tcW w:w="2988"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other than goodwill,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 (DEFICIT)</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Stockholders' equity (deficit)</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of $0.01 par value; 1,600.0 shares authorized; 433.2 and 428.8 shares issued, respectively, and 381.4 and 377.0 shares outstanding, respectively</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51.8 shares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stockholders' deficit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PLAYTIKA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for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24"/>
        <w:gridCol w:w="1582"/>
        <w:gridCol w:w="1592"/>
        <w:gridCol w:w="211"/>
        <w:gridCol w:w="601"/>
        <w:gridCol w:w="117"/>
        <w:gridCol w:w="117"/>
        <w:gridCol w:w="117"/>
        <w:gridCol w:w="117"/>
        <w:gridCol w:w="211"/>
        <w:gridCol w:w="601"/>
        <w:gridCol w:w="117"/>
        <w:gridCol w:w="109"/>
        <w:gridCol w:w="109"/>
        <w:gridCol w:w="109"/>
        <w:gridCol w:w="196"/>
        <w:gridCol w:w="691"/>
        <w:gridCol w:w="109"/>
        <w:gridCol w:w="109"/>
        <w:gridCol w:w="109"/>
        <w:gridCol w:w="109"/>
        <w:gridCol w:w="196"/>
        <w:gridCol w:w="691"/>
        <w:gridCol w:w="161"/>
      </w:tblGrid>
      <w:tr>
        <w:trPr/>
        <w:tc>
          <w:tcPr>
            <w:tcW w:w="212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 attributable to common stockholders,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 attributable to common stockholders,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used in computing net income (loss) per share attributable to common stockholders, basic</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380.6 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used in computing net income (loss) per share attributable to common stockholders, diluted</w:t>
            </w:r>
          </w:p>
        </w:tc>
        <w:tc>
          <w:tcPr>
            <w:tcW w:w="8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PLAYTIKA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900" w:type="dxa"/>
        <w:jc w:val="center"/>
        <w:tblInd w:w="0" w:type="dxa"/>
        <w:tblLayout w:type="fixed"/>
        <w:tblCellMar>
          <w:top w:w="28" w:type="dxa"/>
          <w:left w:w="28" w:type="dxa"/>
          <w:bottom w:w="28" w:type="dxa"/>
          <w:right w:w="28" w:type="dxa"/>
        </w:tblCellMar>
      </w:tblPr>
      <w:tblGrid>
        <w:gridCol w:w="2060"/>
        <w:gridCol w:w="1806"/>
        <w:gridCol w:w="1819"/>
        <w:gridCol w:w="207"/>
        <w:gridCol w:w="589"/>
        <w:gridCol w:w="115"/>
        <w:gridCol w:w="115"/>
        <w:gridCol w:w="115"/>
        <w:gridCol w:w="115"/>
        <w:gridCol w:w="207"/>
        <w:gridCol w:w="589"/>
        <w:gridCol w:w="163"/>
      </w:tblGrid>
      <w:tr>
        <w:trPr/>
        <w:tc>
          <w:tcPr>
            <w:tcW w:w="206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 use software costs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software for internal use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short-term investments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short-term investments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paid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bank borrowings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withholdings on stock-based payments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share buyback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Effect of exchange rate changes on cash and cash equivalents and</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restricted cash</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cash equivalents and restricted cash</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beginning of the period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end of the period</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CALCULATION OF FREE CASH FLOW</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left"/>
        <w:rPr/>
      </w:pPr>
      <w:r>
        <w:rPr/>
      </w:r>
    </w:p>
    <w:tbl>
      <w:tblPr>
        <w:tblW w:w="5261" w:type="dxa"/>
        <w:jc w:val="left"/>
        <w:tblInd w:w="0" w:type="dxa"/>
        <w:tblLayout w:type="fixed"/>
        <w:tblCellMar>
          <w:top w:w="28" w:type="dxa"/>
          <w:left w:w="28" w:type="dxa"/>
          <w:bottom w:w="28" w:type="dxa"/>
          <w:right w:w="28" w:type="dxa"/>
        </w:tblCellMar>
      </w:tblPr>
      <w:tblGrid>
        <w:gridCol w:w="1157"/>
        <w:gridCol w:w="1015"/>
        <w:gridCol w:w="1023"/>
        <w:gridCol w:w="202"/>
        <w:gridCol w:w="481"/>
        <w:gridCol w:w="112"/>
        <w:gridCol w:w="112"/>
        <w:gridCol w:w="112"/>
        <w:gridCol w:w="112"/>
        <w:gridCol w:w="202"/>
        <w:gridCol w:w="574"/>
        <w:gridCol w:w="159"/>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 use software costs</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software for internal use</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Net Income are non-GAAP financial measures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Credit Agreement defines Adjusted EBITDA as net income before (i) interest expense, (ii) interest income, (iii) provision for income taxes, (iv) depreciation and amortization expense, (v) impairment charges, (vi) stock-based compensation, (vii) contingent consideration, (viii) acquisition and related expenses, and (ix) certain other items. We calculate Adjusted EBITDA Margin as Adjusted EBITDA divided by revenues.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Adjusted Net Income as net income before (i) impairment charges, and (ii) contingent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Adjusted EBITDA Margin and Adjusted Net Income as calculated herein may not be comparable to similarly titled measures reported by other companies within the industry and are not determined in accordance with GAAP. Our presentation of Adjusted EBITDA, Adjusted EBITDA Margin and Adjusted Net Income should not be construed as an inference that our future results will be unaffected by unusual or unexpected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Adjusted EBITDA to net income, the closest GAAP financial measure:</w:t>
      </w:r>
    </w:p>
    <w:tbl>
      <w:tblPr>
        <w:tblW w:w="9063" w:type="dxa"/>
        <w:jc w:val="center"/>
        <w:tblInd w:w="0" w:type="dxa"/>
        <w:tblLayout w:type="fixed"/>
        <w:tblCellMar>
          <w:top w:w="28" w:type="dxa"/>
          <w:left w:w="28" w:type="dxa"/>
          <w:bottom w:w="28" w:type="dxa"/>
          <w:right w:w="28" w:type="dxa"/>
        </w:tblCellMar>
      </w:tblPr>
      <w:tblGrid>
        <w:gridCol w:w="1448"/>
        <w:gridCol w:w="1273"/>
        <w:gridCol w:w="1284"/>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1"/>
      </w:tblGrid>
      <w:tr>
        <w:trPr/>
        <w:tc>
          <w:tcPr>
            <w:tcW w:w="144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estimated value of contingent consideration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Acquisition and related expenses</w:t>
            </w:r>
            <w:r>
              <w:rPr>
                <w:rFonts w:ascii="Times New Roman;serif" w:hAnsi="Times New Roman;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items</w:t>
            </w:r>
            <w:r>
              <w:rPr>
                <w:rFonts w:ascii="Times New Roman;serif" w:hAnsi="Times New Roman;serif"/>
                <w:b w:val="false"/>
                <w:color w:val="000000"/>
                <w:sz w:val="12"/>
              </w:rPr>
              <w:t>(3)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margin</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margin</w:t>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Reflects stock-based compensation expense related to the issuance of equity awards to our employees and Directors.</w:t>
      </w:r>
    </w:p>
    <w:p>
      <w:pPr>
        <w:pStyle w:val="TextBody"/>
        <w:bidi w:val="0"/>
        <w:spacing w:lineRule="auto" w:line="288" w:before="0" w:after="0"/>
        <w:ind w:left="0" w:right="0" w:hanging="72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Includes costs incurred to e</w:t>
      </w:r>
      <w:bookmarkStart w:id="0" w:name="idedfc5b7bcc94edf9c5bd0eded6b48f0_1199"/>
      <w:bookmarkEnd w:id="0"/>
      <w:r>
        <w:rPr>
          <w:rFonts w:ascii="Times New Roman;serif" w:hAnsi="Times New Roman;serif"/>
          <w:b w:val="false"/>
          <w:color w:val="000000"/>
          <w:sz w:val="20"/>
        </w:rPr>
        <w:t>valuate and pursue acquisition activities as well as costs incurred by the Company in connection with the evaluation of strategic alternatives.</w:t>
      </w:r>
    </w:p>
    <w:p>
      <w:pPr>
        <w:pStyle w:val="TextBody"/>
        <w:bidi w:val="0"/>
        <w:spacing w:lineRule="auto" w:line="288" w:before="0" w:after="0"/>
        <w:ind w:left="0" w:right="0" w:hanging="72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Amounts for the three and six months ended June 30, 2026 consists primarily of $1.6 million and $15.3 million, respectively, incurred by the Company for severance.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for the three and six months ended June 30, 2025 consists of $7.8 million and $8.5 million, respectively, incurred by the Company related to restructuring activities.</w:t>
      </w:r>
    </w:p>
    <w:p>
      <w:pPr>
        <w:pStyle w:val="TextBody"/>
        <w:bidi w:val="0"/>
        <w:spacing w:lineRule="auto" w:line="288" w:before="0" w:after="0"/>
        <w:ind w:left="0" w:right="0" w:hanging="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ADJUSTED NET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Adjusted Net Income to net income (loss), the closest GAAP financial measure:</w:t>
      </w:r>
    </w:p>
    <w:tbl>
      <w:tblPr>
        <w:tblW w:w="8613" w:type="dxa"/>
        <w:jc w:val="center"/>
        <w:tblInd w:w="0" w:type="dxa"/>
        <w:tblLayout w:type="fixed"/>
        <w:tblCellMar>
          <w:top w:w="28" w:type="dxa"/>
          <w:left w:w="28" w:type="dxa"/>
          <w:bottom w:w="28" w:type="dxa"/>
          <w:right w:w="28" w:type="dxa"/>
        </w:tblCellMar>
      </w:tblPr>
      <w:tblGrid>
        <w:gridCol w:w="1446"/>
        <w:gridCol w:w="1274"/>
        <w:gridCol w:w="1285"/>
        <w:gridCol w:w="232"/>
        <w:gridCol w:w="553"/>
        <w:gridCol w:w="129"/>
        <w:gridCol w:w="129"/>
        <w:gridCol w:w="129"/>
        <w:gridCol w:w="129"/>
        <w:gridCol w:w="232"/>
        <w:gridCol w:w="553"/>
        <w:gridCol w:w="129"/>
        <w:gridCol w:w="109"/>
        <w:gridCol w:w="109"/>
        <w:gridCol w:w="109"/>
        <w:gridCol w:w="212"/>
        <w:gridCol w:w="504"/>
        <w:gridCol w:w="117"/>
        <w:gridCol w:w="117"/>
        <w:gridCol w:w="117"/>
        <w:gridCol w:w="117"/>
        <w:gridCol w:w="212"/>
        <w:gridCol w:w="504"/>
        <w:gridCol w:w="166"/>
      </w:tblGrid>
      <w:tr>
        <w:trPr/>
        <w:tc>
          <w:tcPr>
            <w:tcW w:w="14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estimated value of contingent consideration</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impact of adjustments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tbl>
      <w:tblPr>
        <w:tblW w:w="2363" w:type="dxa"/>
        <w:jc w:val="center"/>
        <w:tblInd w:w="0" w:type="dxa"/>
        <w:tblLayout w:type="fixed"/>
        <w:tblCellMar>
          <w:top w:w="28" w:type="dxa"/>
          <w:left w:w="28" w:type="dxa"/>
          <w:bottom w:w="28" w:type="dxa"/>
          <w:right w:w="28" w:type="dxa"/>
        </w:tblCellMar>
      </w:tblPr>
      <w:tblGrid>
        <w:gridCol w:w="603"/>
        <w:gridCol w:w="529"/>
        <w:gridCol w:w="53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IR@playtika.com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pltkq22026earningspresen.htm"/>
      <w:bookmarkStart w:id="2" w:name="kspltkq22026earningspresen"/>
      <w:bookmarkEnd w:id="1"/>
      <w:bookmarkEnd w:id="2"/>
      <w:r>
        <w:rPr/>
        <w:drawing>
          <wp:inline distT="0" distB="0" distL="0" distR="0">
            <wp:extent cx="9753600" cy="548640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PLAYTIKA HOLDING CORP. Second Quarter 2026 Results Aug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DISCLAIMER 2 Forward-Looking Statements This presentation contains “forward-looking statements” within the meaning of the U.S. Private Securities Litigation Reform Act of 1995 and Section 21E of the Exchange Act. All statements other than statements of historical facts contained in this prese ntation, including statements regarding our business strategy, plans and our objectives for future operations, are forward-looking statements. Further, statements that include words such as “anticipate,” “believe,” “continue,” “could,” “estimate,” “expect,” “future,” “intend,” “intent,” “may,” “might,” “potential,” “present,” “preserve,” “project,” “pursue,” “should,” “will,” or “would,” or the negat ive of these words or other words or expressions of similar meaning may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risks and uncertainties discussed in our filings with the Securities and Exchange Commission.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 d-looking statements we may make. In light of these risks, uncertainties and assumptions, the forward-looking statements discussed in this press release may not occur and actual results could differ materially and adversely from those anticipated, predicted or implied in the forward-looking statements. Important factors that could cause actual results to differ materially from estimates or projections contained in the forward-looking statements include without limitation: • actions of our majority shareholder or other third parties that influence us; • our reliance on third-party platforms, such as the iOS App Store and Google Play Store, to distribute our games and collect revenues, and the risk that such platforms may adversely change their policies; • our reliance on a limited number of games to generate the majority of our revenue; • our reliance on a small percentage of total users to generate a majority of our revenue; • our free-to-play business model, and the value of virtual items sold in our games, is highly dependent on how we manage the game revenues and pricing models; • our inability to refinance our indebtedness, including, without limitation, our $550 million revolving credit facility which is set to expire in March 2027, or to obtain additional financing on favorable terms or at all; • our inability to identify acquisition targets that fit our strategy or complete acquisitions and integrate any acquired busin esses successfully or realize the anticipated benefits of such acquisitions could limit our growth, disrupt our plans and operat ions or impact the amount of capital allocated to mergers and acquisitions; • our ability to compete in a highly competitive industry with low barriers to entry; • our ability to retain existing players, attract new players and increase the monetization of our player base; • our ability to develop and/or launch new products and content or otherwise execute against our product roadmap strategy; • we have significant indebtedness and are subject to the obligations and restrictive covenants under our debt instruments; • the impact of an economic recession or periods of increased inflation, and any reductions to household spending on the types of discretionary entertainment we offer; • our controlled company status; • legal or regulatory restrictions or proceedings could adversely impact our business and limit the growth of our operations; • risks related to our international operations and ownership, including our significant operations in Israel and Ukraine and the fact that our controlling stockholder is a Chinese-owned company; • geopolitical events such as the Wars in Israel and Ukraine; • our reliance on key personnel; • market conditions or other factors affecting the payment of dividends, including the decision whether or not to pay a dividend; • uncertainties regarding the amount and timing of repurchases under our stock repurchase program; • security breaches or other disruptions could compromise our information or our players’ information and expose us to liability; and • our inability to protect our intellectual property and proprietary information could adversely impact our business. Additional factors that may cause future events and actual results, financial or otherwise, to differ, potentially materially , from those discussed in or implied by the forward-looking statements include the risks and uncertainties discussed in our filings with the Securities and Exchange Commission.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 The forward-looking statements speak only as of the date they are made. Except as required by law, we undertake no obligation to update any forward-looking statements for any reason to conform these statements to actual results or to changes in our expectations. Non-GAAP Financial Measures This presentation contains certain non-GAAP financial measures of us, including Adjusted Net Income and Adjusted EBITDA. A "non-GAAP financial measure" is defined as a numerical measure of a company's financial performance that excludes or includes amounts so as to be different than the most directly comparable measure calculated and presented in accordance with GAAP in the statements of income, balance sheets or statements of cash flow of the company. You should not consider these non-GAAP financial measures in isolation, or as a substitute for analysis of results as reported under GAAP. For information regarding the non-GAAP financial measures used by us, and for a reconciliation of these non-GAAP financial measures to the most directly comparable GAAP measures, see the Appendix to this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FINANCIAL HIGHLIGHTS Revenue of $731.1 million, Net Income of $48.0 million, Adjusted Net Income of $53.6 million, and Adjusted EBITDA of $206.1 million. Revenue decreased (1.8%) sequentially and increased 5.0% year over year. Adjusted Net Income increased 294.1% sequentially and 724.6% year over year. Adjusted EBITDA increased 64.6% sequentially and 23.4% year over year. Direct-to-Consumer revenue decreased (1.7)% sequentially and increased 63.1% year over year. Net Income margin of 6.6%, compared to Net Loss margin of (7.7)% in Q1 2026 and Net Income margin of 4.8% in Q2 2025. Adjusted Net Income margin of 7.3%, compared to 1.8% in Q1 2026 and 0.9% in Q2 2025. Adjusted EBITDA margin of 28.2%, compared to 16.8% in Q1 2026 and 24.0% in Q2 2025. Cash, cash equivalents, and short-term investments totaled $438.5 million as of June 30, 2026. 3 Note: USD in millions. See appendix for definitions of Adjusted EBITDA and Adjusted Net Income. Adjusted EBITDA and Adjusted Net Income are non-gaap measures, see reconciliation on slides 11 and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BUSINESS HIGHLIGHTS Average Daily Paying Users of 367K decreased (5.2)% sequentially and (2.9)% year over year. Average Payer Conversion of 4.6%, up from 4.3% in Q2 2025 and 4.5% in Q1 2026. Bingo Blitz revenue of $145.1 million decreased (5.6)% sequentially and (9.5)% year over year. Disney Solitaire revenue of $142.4 million increased 15.5% sequentially and 288.6% year over year. June’s Journey revenue of $74.7 million decreased (1.7)% sequentially and increased 8.1% year over year. 4Note: See appendix for definitions of Average Daily Paying Users and Average Payer Conversion.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+63.1% QUARTERLY REVENUE BY PLATFORM 5 Direct-to-Consumer Platforms Revenue Third-Party Platforms RevenueTotal Revenue +5.0% (14.6)% Note: USD in millions. See appendix for definitions of Direct-to-Consumer Platforms.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SELECTED QUARTERLY FINANCIALS 6 Note: USD in millions. See appendix for definitions of Adjusted EBITDA. Adjusted EBITDA is a non-gaap measure, see reconciliation on slides 11 and 12. Net Income Adjusted EBITDA and Margin +23.4%+44.6%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KPI TRENDS 7 Average Daily Paying Users (in millions) Average Daily Active Users (in millions) Average Revenue per Daily Active User Average Payer Conversion (2.9)% (9.1)% +30bps Note: See appendix for definitions of Average Daily Paying Users, Average Daily Active Users, Average Revenue per Daily Active User, and Average Payer Conversion.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CONTRIBUTION 8Note: See appendix for definitions of Casual Themed Games, Social Casino Themed Games, and Direct-to-Consumer Platforms. Revenue Mix (Casual and Social Casino) Revenue Mix (DTC and 3rd Party Platforms)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STRUCTURE OVERVIEW 9 Available Liquidity (as of 06/30/26) Debt Maturity Profile (as of 06/30/26) Approximately $1.0 billion in available liquidity. Liquidity is expected to continue to improve with Free Cash Flow generation Net LTM leverage of approximately 2.6x. Capital Structure and Capital Allocation Note: USD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Adjusted EBITDA and Adjusted Net Income are non-GAAP financial measures and should not be construed as an alternative to net income as an indicator of operating performance, nor as an alternative to cash flow provided by operating activities as a measure of liquidity, or any other performance measu re in each case as determined in accordance with GAAP. Our Credit Agreement defines Adjusted EBITDA as net income before (i) interest expense, (ii) interest income, (iii) provision for income taxes, (iv) depreciation and amortization expense, (v) impairment charges, (vi) stock-based compensation, (vii) contingent consideration, (viii) acquisition and related expenses, and (ix) certain other items. We calculate Adjusted EBITDA Margin as Adjusted EBITDA divided by revenues. We define Adjusted Net Income as net income before (i) impairment charges, and (ii) contingent consideration. Adjusted EBITDA, Adjusted EBITDA Margin and Adjusted Net Income as calculated herein may not be comparable to similarly title d measures reported by other companies within the industry and are not determined in accordance with GAAP. Our presentation of Adjusted EBITDA, Adjusted EBITDA Margin and Adju sted Net Income should not be construed as an inference that our future results will be unaffected by unusual or unexpected items. Non-GAAP Financial Measure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GAAP to Non-GAAP Measure 11Note: USD in millions. (1) Reflects stock-based compensation expense related to the issuance of equity awards to our employees and Directors. (2) Includes costs incurred to evaluate and pursue acquisition activities as well as costs incurred by the Company in connection with the evaluation of strategic alternatives. (3) The amount for the three months ended June 30, 2026 consists primarily of $1.6 million incurred by the Company for severance and the amount for the three months ended June 30, 2025 consists of $7.8 million, incurred by the Company related to restructuring activities Three Months Ended, June 30, 2025 September 30, 2025 December 31, 2025 March 31, 2026 June 30, 2026 Adjusted EBITDA Reconciliation Net Income (Loss) 33.2$ 39.1$ (309.3)$ (57.5)$ 48.0$ Provision for income taxes 11.9 19.0 (7.9) (16.3) 20.5 Interest expense and other, net 64.6 40.3 36.2 24.2 66.1 Depreciation and Amortization 61.0 59.3 55.3 44.9 45.2 EBITDA 170.7$ 157.7$ (225.7)$ (4.7)$ 179.8$ Impairment charges 0.4 1.5 4.5 - 0.5 Stock-based compensation (1) 17.5 21.8 17.7 14.1 12.6 Contingent consideration (33.0) 30.8 394.1 95.0 2.0 Acquisition and related expenses (2) 3.6 5.3 9.6 7.2 9.2 Other items (3) 7.8 0.4 1.2 13.6 2.0 Adjusted EBITDA 167.0$ 217.5$ 201.4$ 125.2$ 206.1$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GAAP to Non-GAAP Measure 12Note: USD in millions. June 30, 2025 September 30, 2025 December 31, 2025 March 31, 2026 June 30, 2026 Net Income Reconciliation Net Income (Loss) 33.2$ 39.1$ (309.3)$ (57.5)$ $48.0 Impairment charges 0.4 1.5 4.5 - 0.5 Contingent consideration (33.0) 30.8 394.1 95.0 2.0 Income tax impact of adjustments 5.9 (5.6) (0.3) (23.9) 3.1 Adjusted Net Income 6.5$ 65.8$ 89.0$ 13.6$ $53.6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Average Revenue per Daily Active User: or “ARPDAU” means (i) the total revenue in a given period, (ii) divided by the number of days in that period, (iii) divided by the average Daily Active Users during that period. Daily Active Users: or “DAUs” means the number of individuals who played one of our games during a particular day on a particular platform. Under this metric, an individual who plays two different games on the same day is counted as two DAUs. Similarly, an individual who plays the same game on two different platforms (e.g., web and mobile) or on two different social networks on the same day would be counted as two Daily Active Users. Average Daily Active Users for a particular period is the average of the DAUs for each day during that period. Daily Paying Users: or “DPUs” means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could be counted as two Daily Paying Users. Average Daily Paying Users for a particular period is the average of the DPUs for each day during that period. Daily Payer Conversion: means (i) the total number of Daily Paying Users, (ii) divided by the number of Daily Active Users on a particular day. Average Daily Payer Conversion for a particular period is the average of the Daily Payer Conversion rates for each day during that period. Casual Themed Games: portfolio of games that include - Bingo Blitz, Solitaire Grand Harvest, June’s Journey, Best Fiends, Board Kings, Pirate Kings, Pearl’s Peril, Best Fiends Stars, Redecor, Animals &amp; Coins, Dice Dreams, Domino Dreams, Disney Solitaire, and Other. Social Casino Themed Games: portfolio of games that include - Slotomania, House of Fun, Caesars Slots, World Series of Poker, Governor of Poker 3, and Other. Direct-to-Consumer Platforms: Playtika’s own internal proprietary platforms where payment processing fees and other related expenses for in-app purchases are typically 3 to 4%, compared to the 30% platform fee for third party platforms. Adjusted Net Income: We define Adjusted Net Income as net income before (i) impairment charges, and (ii) contingent considerations. Adjusted EBITDA: Our Credit Agreement defines Adjusted EBITDA as net income before (i) interest expense, (ii) interest income, (iii) provision for income taxes, (iv) depreciation and amortization expense, (v) impairment charges, (vi) stock-based compensation, (vii) contingent consideration, (viii) acquisition and related expenses, and (ix) certain other items. Free Cash Flow: We defined Free Cash Flow as net cash provided by operating activities minus capital expenditures. Our capital expenditures include purchase of property and equipment, capitalization of internal use software costs, and purchase of software for internal use. Glossary of Key Terms 13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5584</Words>
  <Characters>31100</Characters>
  <CharactersWithSpaces>36340</CharactersWithSpaces>
  <Paragraphs>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pltkq22026earningspresen</dc:title>
</cp:coreProperties>
</file>