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7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7" w:lineRule="exact"/>
        <w:rPr>
          <w:sz w:val="24"/>
          <w:szCs w:val="24"/>
          <w:color w:val="auto"/>
        </w:rPr>
      </w:pPr>
    </w:p>
    <w:p>
      <w:pPr>
        <w:ind w:left="940" w:hanging="554"/>
        <w:spacing w:after="0"/>
        <w:tabs>
          <w:tab w:leader="none" w:pos="9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period ended December 31, 2022</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940" w:hanging="554"/>
        <w:spacing w:after="0"/>
        <w:tabs>
          <w:tab w:leader="none" w:pos="9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7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001-39896</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PLAYTIKA HOLDING CORP.</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69" w:lineRule="exact"/>
        <w:rPr>
          <w:sz w:val="24"/>
          <w:szCs w:val="24"/>
          <w:color w:val="auto"/>
        </w:rPr>
      </w:pPr>
    </w:p>
    <w:p>
      <w:pPr>
        <w:ind w:left="2300"/>
        <w:spacing w:after="0"/>
        <w:tabs>
          <w:tab w:leader="none" w:pos="81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81-3634591</w:t>
      </w:r>
    </w:p>
    <w:p>
      <w:pPr>
        <w:spacing w:after="0" w:line="31" w:lineRule="exact"/>
        <w:rPr>
          <w:sz w:val="24"/>
          <w:szCs w:val="24"/>
          <w:color w:val="auto"/>
        </w:rPr>
      </w:pPr>
    </w:p>
    <w:p>
      <w:pPr>
        <w:ind w:left="1840"/>
        <w:spacing w:after="0"/>
        <w:tabs>
          <w:tab w:leader="none" w:pos="8040" w:val="left"/>
        </w:tabs>
        <w:rPr>
          <w:sz w:val="20"/>
          <w:szCs w:val="20"/>
          <w:color w:val="auto"/>
        </w:rPr>
      </w:pPr>
      <w:r>
        <w:rPr>
          <w:rFonts w:ascii="Times New Roman" w:cs="Times New Roman" w:eastAsia="Times New Roman" w:hAnsi="Times New Roman"/>
          <w:sz w:val="14"/>
          <w:szCs w:val="14"/>
          <w:b w:val="1"/>
          <w:bCs w:val="1"/>
          <w:color w:val="auto"/>
        </w:rPr>
        <w:t>(State of other jurisdiction</w:t>
      </w:r>
      <w:r>
        <w:rPr>
          <w:sz w:val="20"/>
          <w:szCs w:val="20"/>
          <w:color w:val="auto"/>
        </w:rPr>
        <w:tab/>
      </w:r>
      <w:r>
        <w:rPr>
          <w:rFonts w:ascii="Times New Roman" w:cs="Times New Roman" w:eastAsia="Times New Roman" w:hAnsi="Times New Roman"/>
          <w:sz w:val="14"/>
          <w:szCs w:val="14"/>
          <w:b w:val="1"/>
          <w:bCs w:val="1"/>
          <w:color w:val="auto"/>
        </w:rPr>
        <w:t>(I.R.S. Employer</w:t>
      </w:r>
    </w:p>
    <w:p>
      <w:pPr>
        <w:spacing w:after="0" w:line="30" w:lineRule="exact"/>
        <w:rPr>
          <w:sz w:val="24"/>
          <w:szCs w:val="24"/>
          <w:color w:val="auto"/>
        </w:rPr>
      </w:pPr>
    </w:p>
    <w:p>
      <w:pPr>
        <w:ind w:left="1640"/>
        <w:spacing w:after="0"/>
        <w:tabs>
          <w:tab w:leader="none" w:pos="8000" w:val="left"/>
        </w:tabs>
        <w:rPr>
          <w:sz w:val="20"/>
          <w:szCs w:val="20"/>
          <w:color w:val="auto"/>
        </w:rPr>
      </w:pPr>
      <w:r>
        <w:rPr>
          <w:rFonts w:ascii="Times New Roman" w:cs="Times New Roman" w:eastAsia="Times New Roman" w:hAnsi="Times New Roman"/>
          <w:sz w:val="14"/>
          <w:szCs w:val="14"/>
          <w:b w:val="1"/>
          <w:bCs w:val="1"/>
          <w:color w:val="auto"/>
        </w:rPr>
        <w:t>of 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 Playtika Ltd.</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HaChoshlim St 8</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Herzliya Pituach, Israel</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972-73-316-3251</w:t>
      </w:r>
    </w:p>
    <w:p>
      <w:pPr>
        <w:spacing w:after="0" w:line="1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PLTK</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9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jc w:val="both"/>
        <w:ind w:right="20"/>
        <w:spacing w:after="0" w:line="205"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44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7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215" w:lineRule="exact"/>
        <w:tabs>
          <w:tab w:leader="none" w:pos="1720" w:val="left"/>
        </w:tabs>
        <w:rPr>
          <w:sz w:val="20"/>
          <w:szCs w:val="20"/>
          <w:color w:val="auto"/>
        </w:rPr>
      </w:pPr>
      <w:r>
        <w:rPr>
          <w:rFonts w:ascii="Times New Roman" w:cs="Times New Roman" w:eastAsia="Times New Roman" w:hAnsi="Times New Roman"/>
          <w:sz w:val="16"/>
          <w:szCs w:val="16"/>
          <w:color w:val="auto"/>
        </w:rPr>
        <w:t>report.</w:t>
      </w:r>
      <w:r>
        <w:rPr>
          <w:sz w:val="20"/>
          <w:szCs w:val="20"/>
          <w:color w:val="auto"/>
        </w:rPr>
        <w:tab/>
      </w:r>
      <w:r>
        <w:rPr>
          <w:rFonts w:ascii="Arial Unicode MS" w:cs="Arial Unicode MS" w:eastAsia="Arial Unicode MS" w:hAnsi="Arial Unicode MS"/>
          <w:sz w:val="16"/>
          <w:szCs w:val="16"/>
          <w:color w:val="auto"/>
        </w:rPr>
        <w:t>☐</w:t>
      </w:r>
    </w:p>
    <w:p>
      <w:pPr>
        <w:spacing w:after="0" w:line="219"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204"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79" w:lineRule="exact"/>
        <w:rPr>
          <w:sz w:val="20"/>
          <w:szCs w:val="20"/>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Based upon the last sale price of the registrant’s common stock, $0.01 par value, as reported on the Nasdaq Global Market on June 30, 2022, the aggregate market value of the common stock held by non-affiliates of the registrant as of such date was $1.1 billion. For purposes of these computations only, all of the Registrant’s executive officers and directors and entities affiliated with them have been deemed to be affiliates.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22, 2023, the registrant had 365,271,876 shares of common stock, $0.01 par value per share, outstanding.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Part III, Items 10, 11, 12, 13, and 14 incorporate by reference certain specific portions of the definitive Proxy Statement for Playtika Holding Corp.’s 2023 Annual Meeting of Stockholders, to be filed pursuant to Regulation 14A. Only those portions of the Proxy Statement which are specifically incorporated by reference herein shall constitute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4280"/>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Cautionary Note About Forward Looking Statements</w:t>
            </w:r>
          </w:p>
        </w:tc>
        <w:tc>
          <w:tcPr>
            <w:tcW w:w="640" w:type="dxa"/>
            <w:vAlign w:val="bottom"/>
            <w:gridSpan w:val="5"/>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gridSpan w:val="5"/>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1a.</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1b.</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60</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60</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63</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64</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2"/>
              </w:rPr>
              <w:t>7a.</w:t>
            </w: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gridSpan w:val="6"/>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132</w:t>
            </w: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9a.</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6"/>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132</w:t>
            </w:r>
          </w:p>
        </w:tc>
        <w:tc>
          <w:tcPr>
            <w:tcW w:w="42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9b.</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gridSpan w:val="6"/>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132</w:t>
            </w: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2"/>
              </w:rPr>
              <w:t>9c.</w:t>
            </w: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gridSpan w:val="6"/>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12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gridSpan w:val="6"/>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42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700" w:type="dxa"/>
            <w:vAlign w:val="bottom"/>
            <w:gridSpan w:val="6"/>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gridSpan w:val="6"/>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42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00" w:type="dxa"/>
            <w:vAlign w:val="bottom"/>
            <w:gridSpan w:val="6"/>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420" w:type="dxa"/>
            <w:vAlign w:val="bottom"/>
            <w:shd w:val="clear" w:color="auto" w:fill="CCEEFF"/>
          </w:tcPr>
          <w:p>
            <w:pPr>
              <w:spacing w:after="0"/>
              <w:rPr>
                <w:sz w:val="16"/>
                <w:szCs w:val="16"/>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00" w:type="dxa"/>
            <w:vAlign w:val="bottom"/>
            <w:gridSpan w:val="6"/>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42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00" w:type="dxa"/>
            <w:vAlign w:val="bottom"/>
            <w:gridSpan w:val="6"/>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gridSpan w:val="6"/>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rPr>
              <w:t>137</w:t>
            </w:r>
          </w:p>
        </w:tc>
        <w:tc>
          <w:tcPr>
            <w:tcW w:w="420" w:type="dxa"/>
            <w:vAlign w:val="bottom"/>
            <w:shd w:val="clear" w:color="auto" w:fill="CCEEFF"/>
          </w:tcPr>
          <w:p>
            <w:pPr>
              <w:spacing w:after="0"/>
              <w:rPr>
                <w:sz w:val="16"/>
                <w:szCs w:val="16"/>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6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Borders>
              <w:bottom w:val="single" w:sz="8" w:color="0000FF"/>
            </w:tcBorders>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138</w:t>
            </w:r>
          </w:p>
        </w:tc>
        <w:tc>
          <w:tcPr>
            <w:tcW w:w="4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following terms are used in this Annual Report on Form 10-K unless otherwise noted or indicated by the context: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“Alpha” means Alpha Frontier Limited, a company formed under the laws of the Cayman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“ASC” means Accounting Standards Codification.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“ASU” means Accounting Standards Update.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“Average Revenue per Daily Active User” or “ARPDAU” means (i) the total revenue in a given period, (ii) divided by the number of days in that period, (iii) divided by the average Daily Active Users during that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“Average Revenue per Paying User” or “ARPPU” means (i) the total revenue derived from the purchase of in-game virtual items in a given period, (ii) divided by the number of days in that period, (iii) divided by the average DPUs during the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“Bridge Facility” means our senior secured 363-day bridge loan facility entered into August 20,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“CIE” means Caesars Interactive Entertainment,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“Credit Agreement” means our Credit Agreement, dated as of December 10, 2019, by and among us, the lenders party thereto and Credit Suisse AG, Cayman Islands Branch, as administrative agent and collateral agent and the other parties thereto, as amended, which includes the Credit Facilities, consisting of the Revolving Credit Facility and the Term Loan.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 Facilities” means our Revolving Credit Facility and Term Loan, each pursuant to the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“Daily Active Users” or “DAUs” means the number of individuals who played one of our games during a particular day on a particular platform. Under this metric, an individual who plays two different games on the same day is counted as two DAUs. Similarly, an individual who plays the same game on two different platforms (e.g., web and mobile) or on two different social networks on the same day would be counted as two Daily Active Users. Average Daily Active Users for a particular period is the average of the DAUs for each day during that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“Daily Payer Conversion” means (i) the total number of Daily Paying Users, (ii) divided by the number of Daily Active Users on a particular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Daily Payer Conversion for a particular period is the average of the Daily Payer Conversion rates for each day during that 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“Daily Paying Users” or “DPUs” means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could be counted as two Daily Paying Users. Average Daily Paying Users for a particular period is the average of the DPUs for each day during that period.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“Hazlet” means Hazlet Global Limited, a company organized and existing under the laws of the British Virgin Islands.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“Monthly Active Users” or “MAUs” means the number of individuals who played one of our games during a calendar month on a particular platform.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Monthly Active Users. Average Monthly Active Users for a particular period is the average of the MAUs for each month during that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“GAAP” means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“Giant” means Giant Investment Co., Ltd.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“Nasdaq” means the Nasdaq Global Select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means our $600.0 million aggregate principal amount of our 4.250% senior notes due 2029 pursuant to an indenture dated March 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“Playtika,” the “Company,” “we,” “us” and “our” mean Playtika Holding Corp. and its subsidiaries.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“Playtika Holding UK” means Playtika Holding UK II Limited, a company formed under the laws of England and Wales, and a wholly owned subsidiary of Alpha.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“Revolving Credit Facility” means our $600.0 million senior secured revolving credit facility pursuant to the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“SOFR” means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“Term Loan” means our $1,900.0 million senior secured first lien term loan pursuant to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ABOUT FORWARD 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including the documents incorporated by reference, contain or may contain forward-looking statements within the meaning of the Private Securities Litigation Reform Act of 1995 and Section 21E of the Exchange Act. All statements other than statements of historical facts contained in this annual report, including statements regarding our business strategy, plans and our objectives for future operations, are forward-looking statements. Further, statements that include words such as "anticipate," "believe," "continue," "could," "estimate," "expect," "intend," "may," "might," "present," "preserve," "project," "pursue," "will," or "would," or the negative of these words or other words or expressions of similar meaning may identify forward-looking statements.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important factors discussed in Part I, Item 1A, “Risk Factors” in this Annual Report on Form 10-K.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Annual Report on Form 10-K, including the documents incorporated by reference, may not occur and actual results could differ materially and adversely from those anticipated, predicted or implied in the forward-looking statements.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estimates or projections contained in the forward-looking statements include without limitation:</w:t>
      </w:r>
    </w:p>
    <w:p>
      <w:pPr>
        <w:spacing w:after="0" w:line="189" w:lineRule="exact"/>
        <w:rPr>
          <w:sz w:val="20"/>
          <w:szCs w:val="20"/>
          <w:color w:val="auto"/>
        </w:rPr>
      </w:pPr>
    </w:p>
    <w:p>
      <w:pPr>
        <w:ind w:left="1300" w:hanging="563"/>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platforms, such as the iOS App Store, Facebook, and Google Play Store, to distribute our games and collect revenues, and the risk that such platforms may adversely change their policies;</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games to generate the majority of our revenue;</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percentage of total users to generate a majority of our revenue;</w:t>
      </w:r>
    </w:p>
    <w:p>
      <w:pPr>
        <w:spacing w:after="0" w:line="9" w:lineRule="exact"/>
        <w:rPr>
          <w:rFonts w:ascii="Times New Roman" w:cs="Times New Roman" w:eastAsia="Times New Roman" w:hAnsi="Times New Roman"/>
          <w:sz w:val="18"/>
          <w:szCs w:val="18"/>
          <w:color w:val="auto"/>
        </w:rPr>
      </w:pPr>
    </w:p>
    <w:p>
      <w:pPr>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free-to-play business model, and the value of virtual items sold in our games, is highly dependent on how we manage the game revenues and pricing models;</w:t>
      </w:r>
    </w:p>
    <w:p>
      <w:pPr>
        <w:ind w:left="1300" w:right="2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acquisitions and integrate any acquired businesses successfully could limit our growth or disrupt our plans and operations;</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develop new games;</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industry with low barriers to entry;</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are subject to the obligations and restrictive covenants under our debt instruments;</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the economy as a whole;</w:t>
      </w:r>
    </w:p>
    <w:p>
      <w:pPr>
        <w:spacing w:after="0" w:line="9" w:lineRule="exact"/>
        <w:rPr>
          <w:rFonts w:ascii="Times New Roman" w:cs="Times New Roman" w:eastAsia="Times New Roman" w:hAnsi="Times New Roman"/>
          <w:sz w:val="18"/>
          <w:szCs w:val="18"/>
          <w:color w:val="auto"/>
        </w:rPr>
      </w:pPr>
    </w:p>
    <w:p>
      <w:pPr>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economic recession or periods of increased inflation, and any reductions to household spending on the types of discretionary entertainment we offer;</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controlled company status;</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restrictions or proceedings could adversely impact our business and limit the growth of our operations;</w:t>
      </w:r>
    </w:p>
    <w:p>
      <w:pPr>
        <w:spacing w:after="0" w:line="9" w:lineRule="exact"/>
        <w:rPr>
          <w:rFonts w:ascii="Times New Roman" w:cs="Times New Roman" w:eastAsia="Times New Roman" w:hAnsi="Times New Roman"/>
          <w:sz w:val="18"/>
          <w:szCs w:val="18"/>
          <w:color w:val="auto"/>
        </w:rPr>
      </w:pPr>
    </w:p>
    <w:p>
      <w:pPr>
        <w:ind w:left="1300" w:right="2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and ownership, including our significant operations in Israel, Ukraine and Belarus and the fact that our controlling stockholder is a Chinese-owned company;</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other disruptions could compromise our information or our players’ information and expose us to liability; and</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and proprietary information could adversely impact our business.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 factors that may cause future events and actual results, financial or otherwise, to differ, potentially materially, from those discussed in or implied by the forward-looking statements include the risks and uncertainties discussed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sections entitled “Business”, “Risk Factors” and “Management’s Discussion and Analysis of Financial Condition and Results of Operations” in this Annual Report on Form 10-K. Although we believe that the expectations reflected in the forward-looking statements are reasonable, we 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any forward-looking statements for any reason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the context suggests otherwise, the terms “Playtika,” the “Company,” “we,” “our,” and “us” mean Playtika Holding Corporation and its subsidiaries.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entertain the world through infinite ways to play.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release of new features that are customized for different player segments. As a result, we have retained paying users over long periods of time.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primarily grown our game portfolio through acquisitions. Once we acquire games, we seek to enhance the scale and profitability of those games by applying our live operations services and our technology platform, the Playtika Boost Platform. By leveraging this platform, our game studios can dedicate a greater portion of their time to creating innovative content, features, and experiences for players.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powerful combination of scale, growth and operating cash flow. In the year ended December 31, 2022, we generated $2,615.5 million in revenues, net income of $275.3 million and $805.1 million in Credit Adjusted EBITDA, representing a net income margin of 10.5%, and a Credit Adjusted EBITDA margin of 30.8%.</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were founded in Israel in 2010, when we released our first game,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which remains the largest game in our portfolio based on revenues as of December 31, 2022. On January 15, 2021, we became a publicly traded company with our common stock traded on the Nasdaq Global Select Market under the ticker symbol “PLTK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Core Strengths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of sustainable, top grossing games with a loyal user base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is to focus on a select number of games that we believe have the potential for high revenues and longevity that we can continue to grow through our live operations expertise. Our goal is to create games that are highly engaging and foster social connection among our players. We build long-term, sustainable games by employing a combination of creative and technical staff that includes storytellers, coders, artists, and data-scientists.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experts in live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run best-in-class live operations for our games, which drive the successful engagement and monetization of our users. Through our live operations, we actively manage and enhance players’ in-game experiences by analyzing individual gameplay and designing game experiences suited to user preferences. By delivering content, offers, and features to users at the right times during their gameplay, we drive paying user conversion, continued monetization, and long-term paying user retention. Our proprietary Playtika Boost Platform provides our game studios with the core technical functionality and live operations services infrastructure needed to run games at scale and rapidly incorporate the latest available functional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discipline drives our success and provides us greater flexibility to deploy capital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attractive margin profile is driven by our ability to retain paying users over the long term, our ownership of substantially all of the intellectual property used in our mobile games, and financial discipline. This results in a superior margin profile and cash flow that we can use to reinvest in acquisitions and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Founder-led management team with longstanding tenure at Playtika</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led by our visionary co-founder, Robert Antokol, who has managed Playtika since inception, transforming the company from a small games business, through numerous acquisitions and steady organic growth, to become one of the largest mobile games platforms in the world. Further, most of our senior management team has been working with us for the significant majority of the Company’s history. We believe the tenure of our executive management team has created a chemistry that reinforces stability in our culture and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track record of pursuing value accretive acquisitions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acquisition strategy is focused on identifying and acquiring games with broad appeal that we believe can benefit from the Playtika Boost Platform, our operational experience, and our live operations services. We maintain a highly disciplined approach to acquisitions, and have a proven history of making acquisitions at attractive prices and achieving meaningful synergies.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Data-driven performance marketing capabilities drive our high-ROI user acquisition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our centralized marketing team to achieve efficiencies across our portfolio of games. Our performance marketing capabilities focus on cost-effectively acquiring users. Our user acquisition strategy is centered on a payback period methodology and we optimize spend between the acquisition of new users and the reactivation of inactive players. Our Daily Payer Conversion increased from 2.9% in the year ended December 31, 2021 to 3.3% in the year ended December 31, 2022, and our ARPDAU increased from $0.68 in the year ended December 31, 2021 to $0.76 in the year ended December 31, 2022. In addition, our average DPUs increased from 0.30 million in the year ended December 31, 2021 to 0.31 million in the year ended December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Live Operations Services and the Playtika Boost Platform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founding, we have developed most of the core technical functionality and services that form the backbone to support our games. We have built these core technical functions and services, and created a scalable, proprietary technology platform, the Playtika Boost Platform, that enhances our live operations services across our games.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Playtika Boost Platform includes: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Studio, which is being developed to use digital and AI technologies to optimize game operations and monetization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Meta-games and monetization events, including tournaments, challenges, and missions;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systems and payment page optimization tools;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analytics infrastructure, including business intelligence, simulation, and modelling frameworks and dashboards;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user data, including segmentation and grouping, enabling customizable content curation;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gaming infrastructure, including multiplayer game services, match-making algorithms, clans, and intra-game social networking;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monitoring, disaster recovery, alerts,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There are also a number of additional services we provide to studios, based on their game’s needs and strategies, including:</w:t>
      </w:r>
    </w:p>
    <w:p>
      <w:pPr>
        <w:spacing w:after="0" w:line="252"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Studio: A developing suite of advanced and easy to use tools to maximize efficiency and designed to enhance revenue by personalizing the player experience</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Player Journey: Proprietary software that allows game operators to create and deploy personalized game content in real-time without extensive software development;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Campaign Manager: Suite of tools and systems enabling outbound communication with players (push notifications, email, SMS, etc.);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Suite: Enhanced tools for managing user acquisition and retargeting campaigns, and operating ad-monetization and cross-promotion activities;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 Machine Learning: Software and algorithms to support artificial intelligence and machine learning models to enhance and supplement traditional data analytics;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Additional tools and software for customer relationship management, account management, and customer service activities; and</w:t>
      </w: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 Office Services Software (BOSS): Complete suite of back-office support software that helps manage day-to-day game operations and configurations.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live operations services and the Playtika Boost Platform are constantly evolving and expanding, as our culture of innovation and optimization allows us to share and implement improvements across our portfolio of games and game studios. The Playtika Boost Platform allows us to analyze data across the full user lifecycle—from user acquisition, through monetization and retention—helping our studios make smarter decisions related to player engagement and monetization. We are able to use our scale to gain significant insight into the operations of our games and refine and implement effective strategies with respect to feature innovation, content cadence, loyalty rewards, game economies, and player segmentation. The Playtika Boost Platform also greatly enhances our acquisition and integration capabilities, providing an effective method to rapidly enhance the infrastructure, growth and success of acquired games and game studios.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Feature Development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strive to create features and player experiences that optimize player engagement, intended to result in increased conversion and monetization. We are focused on continuing to implement and enhance features that keep games fresh and increase user engagement, including awarding in-game virtual items, providing engaging new game themes, motifs, challenges and in-game missions, as well as in-game chat and messaging capabilities. We serve these features to our users based on their preferences and the optimal timing during each player’s gameplay. Depending on the circumstances, this could mean increasing or decreasing the amount of new features for our players.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Acquisitions Strategy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highly disciplined approach to acquisitions, and have a proven history of acquiring games and game studios at attractive prices and driving incremental stockholder value from those games by leveraging our live operations services, including the Playtika Boost Platform. Over the past 10 years, we have successfully acquired a number of mobile games and studios, including JustPlay (2022), Reworks (2021), Seriously (2019), Supertreat (2019), Wooga (2018), Jelly Button (2017), House of Fun (2014), World Series of Poker (2013) and Bingo Blitz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our strategy involves identifying potential acquisition targets that fall into one of five categories:</w:t>
      </w:r>
    </w:p>
    <w:p>
      <w:pPr>
        <w:spacing w:after="0" w:line="252"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developed or underperforming games with a proven game concept in our core genres to facilitate improvement in engagement, monetization, and retention;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games in our core genres, to increase the trajectory of the games;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Non-traditional games and gamifiable applications that expand our reach to adjacent categories;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Businesses and applications that enable us to further leverage our existing technology and capabilities to offer live-ops and monetization solutions to game developers;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to enhance our marketing or technology capabilities.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After an acquisition, we deploy our live operations services and, if appropriate for the acquired game, app or studio, seek to integrate them into the Playtika Boost Platform, providing access to our technical infrastructure. Our ability to quickly integrate acquisitions and realize synergies enables us to compete effectively against other bidders. Additionally, our geographic diversity allows us to integrate acquisition targets, especially studios located in Europe near our other studios and our headquarters in Israel. We view acquisitions as an effective strategy to expand the scale and scope of our mobile games and as a complementary strategy to new game development.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Player Lifecycle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our twelve year history, we have gained significant expertise in acquiring new users, converting users to payers, retaining active users, and re-engaging inactive ones. Our success stems from a deep and nuanced understanding of the key aspects of data-based marketing strategies applicable to our industry, including how to measure successful user acquisition as it relates to mobile games, where to allocate marketing spend, how to optimize media buying budgets, and how to design ads that attract users who are likely to install and play our games.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develop tailored monetization and retention strategies for different parts of our users’ lifecycles, including before they become paying users, after they become paying users, and for users who become inactive. We operate a centralized marketing team that performs key functions like media buying on behalf of our various studios. We have also made acquisitions to bring certain marketing capabilities in house to increase our effectiveness.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Payback period-oriented approach to user acquisition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disciplined user acquisition strategy is centered on a payback period approach, which focuses on user monetization efforts that recoups our marketing spend during a reasonable timeframe. We focus on efficiently acquiring users that can be active for long periods of time. We acquire users from more than 60 different sources, including mobile ad networks, search and social networks.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Re-targeting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re-targeting campaigns to reactivate our inactive users. We have recently made significant investments in our measurement and re-targeting capabilities, and intend to continue to focus on these capabilities, particularly as many of our games were released several years ago. We leverage these investments to create personalized retargeting campaigns to re-engage former users. Our attractive margin profile is driven by our ability to retain paying users over the long term, our ownership of substantially all of the intellectual property used in our mobile games, and financial discipline. This results in a superior margin profile and cash flow that we can use to reinvest in acquisitions and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 of Games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portfolio includes 20 games, 11 of which we actively manage and promote, and our top ten games collectively represented 98.1% of our revenues for the year ended December 31, 2022. Many of our games are classic in nature with mass appeal due to their highly engaging game mechanics. Our portfolio includes both casual and casino-themed games. For the year ended December 31, 2022, our casual games generated 53.8% of our revenues, with our casino-themed games accounting for the remaining 46.2%. Our oldest and largest game franchises have accounted for a significant portion of our growth. Our two largest games, Slotomania and Bingo Blitz, generated approximately half of our revenues for the year ended December 31,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Top 10 Games</w:t>
      </w:r>
    </w:p>
    <w:p>
      <w:pPr>
        <w:spacing w:after="0" w:line="254" w:lineRule="exact"/>
        <w:rPr>
          <w:sz w:val="20"/>
          <w:szCs w:val="20"/>
          <w:color w:val="auto"/>
        </w:rPr>
      </w:pPr>
    </w:p>
    <w:p>
      <w:pPr>
        <w:jc w:val="both"/>
        <w:ind w:left="660" w:right="2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Slotomania </w:t>
      </w:r>
      <w:r>
        <w:rPr>
          <w:rFonts w:ascii="Times New Roman" w:cs="Times New Roman" w:eastAsia="Times New Roman" w:hAnsi="Times New Roman"/>
          <w:sz w:val="18"/>
          <w:szCs w:val="18"/>
          <w:color w:val="auto"/>
        </w:rPr>
        <w:t>is a premier social slots game with an inventory of over 300 original slot games where players earn in-game virtual rewards and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coins and have the ability to purchase virtual items, including virtual coins, boosts and other items to further their progression and unlock more virtual rewards.</w:t>
      </w: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Bingo Blitz </w:t>
      </w:r>
      <w:r>
        <w:rPr>
          <w:rFonts w:ascii="Times New Roman" w:cs="Times New Roman" w:eastAsia="Times New Roman" w:hAnsi="Times New Roman"/>
          <w:sz w:val="18"/>
          <w:szCs w:val="18"/>
          <w:color w:val="auto"/>
        </w:rPr>
        <w:t>is a bingo adventure where users progress through various levels in the theme of major global cities and are able to connect with 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earn virtual items and bonuses, including additional virtual coins and power-ups.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House of Fun </w:t>
      </w:r>
      <w:r>
        <w:rPr>
          <w:rFonts w:ascii="Times New Roman" w:cs="Times New Roman" w:eastAsia="Times New Roman" w:hAnsi="Times New Roman"/>
          <w:sz w:val="18"/>
          <w:szCs w:val="18"/>
          <w:color w:val="auto"/>
        </w:rPr>
        <w:t>features an inventory of over 400 uniquely-themed slot games with a standard leveling system where players earn virtual in-game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including virtual rewards, bonuses and coins progressing through various missions that are updated regularly.</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Solitaire Grand Harvest </w:t>
      </w:r>
      <w:r>
        <w:rPr>
          <w:rFonts w:ascii="Times New Roman" w:cs="Times New Roman" w:eastAsia="Times New Roman" w:hAnsi="Times New Roman"/>
          <w:sz w:val="18"/>
          <w:szCs w:val="18"/>
          <w:color w:val="auto"/>
        </w:rPr>
        <w:t>modernizes the classic solitaire game by adding new elements and challenges.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June’s Journey </w:t>
      </w:r>
      <w:r>
        <w:rPr>
          <w:rFonts w:ascii="Times New Roman" w:cs="Times New Roman" w:eastAsia="Times New Roman" w:hAnsi="Times New Roman"/>
          <w:sz w:val="18"/>
          <w:szCs w:val="18"/>
          <w:color w:val="auto"/>
        </w:rPr>
        <w:t>is a hidden object game that is set in the 1920’s, where players step into the role of amateur detective June Parker to investigate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mysterious quests.</w:t>
      </w: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Caesars Slots </w:t>
      </w:r>
      <w:r>
        <w:rPr>
          <w:rFonts w:ascii="Times New Roman" w:cs="Times New Roman" w:eastAsia="Times New Roman" w:hAnsi="Times New Roman"/>
          <w:sz w:val="18"/>
          <w:szCs w:val="18"/>
          <w:color w:val="auto"/>
        </w:rPr>
        <w:t>features an inventory of over 200 slot games developed to have a look and feel similar to those played in casinos, including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roller lounges only accessible to those with a certain amount of virtual coins and a special “Golden Room” that provides players with exclusive features.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World Series of Poker </w:t>
      </w:r>
      <w:r>
        <w:rPr>
          <w:rFonts w:ascii="Times New Roman" w:cs="Times New Roman" w:eastAsia="Times New Roman" w:hAnsi="Times New Roman"/>
          <w:sz w:val="18"/>
          <w:szCs w:val="18"/>
          <w:color w:val="auto"/>
        </w:rPr>
        <w:t>is the official social app of the World Series of Poker and allows players to compete with friend and other players to 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own virtual World Series of Poker Bracelet.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Best Fiends </w:t>
      </w:r>
      <w:r>
        <w:rPr>
          <w:rFonts w:ascii="Times New Roman" w:cs="Times New Roman" w:eastAsia="Times New Roman" w:hAnsi="Times New Roman"/>
          <w:sz w:val="18"/>
          <w:szCs w:val="18"/>
          <w:color w:val="auto"/>
        </w:rPr>
        <w:t>is a classic match-3 game with RPG-like character development featuring an expansive story set in the mystical world of Minutia.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Kings </w:t>
      </w:r>
      <w:r>
        <w:rPr>
          <w:rFonts w:ascii="Times New Roman" w:cs="Times New Roman" w:eastAsia="Times New Roman" w:hAnsi="Times New Roman"/>
          <w:sz w:val="18"/>
          <w:szCs w:val="18"/>
          <w:color w:val="auto"/>
        </w:rPr>
        <w:t>creates a unique social experience by combining elements of city building with traditional board games.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Redecor </w:t>
      </w:r>
      <w:r>
        <w:rPr>
          <w:rFonts w:ascii="Times New Roman" w:cs="Times New Roman" w:eastAsia="Times New Roman" w:hAnsi="Times New Roman"/>
          <w:sz w:val="18"/>
          <w:szCs w:val="18"/>
          <w:color w:val="auto"/>
        </w:rPr>
        <w:t>is a leading mobile app that combines elements of home design and mobile gaming.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design team has extensive expertise in creating new content and gameplay features as well as proprietary tools and systems to enable the efficient design, development and implementation of new content and features. We invest heavily in research and development, and approximately 75% of our employees are employed in research and development, which enables us to consistently introduce updates and enhancements to our games, which we strive to do on an effective basis.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diverse pool of talent located in game development hubs, including in Israel and Germany. This provides us with both a funnel of new, internally developed game concepts, ideas for improvements to our systems, and close relationships with those local game-development communities.</w:t>
      </w: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all aspects of our business. Our primary competitors include Tencent Holdings, Activision Blizzard, Electronic Arts, Take-Two Interaction/Zynga, AppLovin and Product Madness/Big Fish Games. On the broadest scale, we compete for the leisure time, attention and discretionary spending of our players versus other forms of offline and online entertainment, including social media, reading and other video games on the basis of a number of factors, including quality of player experience, breadth and depth of gameplay, ability to create or license compelling content, brand awareness and reputation and access to distribution channels.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these factors, among other things, enable us to compete effectively in the market. Our industry and the markets for our games, however, are highly competitive, rapidly evolving, fragmented and subject to changing technology, shifting needs and frequent introductions of new games, development platforms and services. Successful execution of our strategy depends on our continuous ability to attract and retain players, expand the market for our games, convert inactive players into paying users, maintain a technological edge and offer new capabilities to players. In some cases, we compete against gaming operators who could expand their product lines to include more directly competitive games that could compete with our content.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current and potential competitors enjoy substantial competitive advantages, such as greater name recognition, longer operating histories, greater financial, technical and other resources, and, in some cases, the ability to rapidly combine online platforms with full-time and temporary employees. Internationally, local competitors may have greater brand recognition than us in their local country and a stronger understanding of local culture and commerce. They may also offer their products and services in local languages we do not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intellectual property rights, including our trademarks, copyrights, and trade secrets, in the aggregate, material to our business. We endeavor to protect our investment in our intellectual property by seeking protection in the jurisdictions where we do business, as appropriate. We generally obtain trademark protection and often seek to register trademarks for the names and designs under which we market and license our games. As of January 1, 2023, we owned approximately 877 registered trademarks in the United States, and approximately 814 registered trademarks in jurisdictions outside of the United States. Additionally, many of the feature elements of our games, including game characters, are subject to copyright protection.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intellectual property that we own, we license certain intellectual property from third parties. In particular, we license intellectual property related to our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World Series of Poker</w:t>
      </w:r>
      <w:r>
        <w:rPr>
          <w:rFonts w:ascii="Times New Roman" w:cs="Times New Roman" w:eastAsia="Times New Roman" w:hAnsi="Times New Roman"/>
          <w:sz w:val="18"/>
          <w:szCs w:val="18"/>
          <w:color w:val="auto"/>
        </w:rPr>
        <w:t xml:space="preserve"> games from CIE. CIE has granted us an exclusive, worldwide and royalty-bearing license to certain intellectual property associated with </w:t>
      </w:r>
      <w:r>
        <w:rPr>
          <w:rFonts w:ascii="Times New Roman" w:cs="Times New Roman" w:eastAsia="Times New Roman" w:hAnsi="Times New Roman"/>
          <w:sz w:val="18"/>
          <w:szCs w:val="18"/>
          <w:i w:val="1"/>
          <w:iCs w:val="1"/>
          <w:color w:val="auto"/>
        </w:rPr>
        <w:t>World Series of Poker</w:t>
      </w:r>
      <w:r>
        <w:rPr>
          <w:rFonts w:ascii="Times New Roman" w:cs="Times New Roman" w:eastAsia="Times New Roman" w:hAnsi="Times New Roman"/>
          <w:sz w:val="18"/>
          <w:szCs w:val="18"/>
          <w:color w:val="auto"/>
        </w:rPr>
        <w:t xml:space="preserve"> through September 23, 2031, and an exclusive, worldwide and royalty-bearing sublicense to certain trademarks and domain names associated with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through December 31, 2026. These licenses permit the development, design, manufacture, offering for sale, advertising, promotion, distribution, sale and use of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World Series of Poker</w:t>
      </w:r>
      <w:r>
        <w:rPr>
          <w:rFonts w:ascii="Times New Roman" w:cs="Times New Roman" w:eastAsia="Times New Roman" w:hAnsi="Times New Roman"/>
          <w:sz w:val="18"/>
          <w:szCs w:val="18"/>
          <w:color w:val="auto"/>
        </w:rPr>
        <w:t xml:space="preserve"> intellectual property in social and free-to-play games.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value associated with our brands and the brands licensed from CIE under which we market and license our games contributes to the appeal and success of our games, and our future ability to develop, acquire or license new brand names of similar quality is important to our continued success. Therefore, we continue to invest in the recognition of our brands and the brands we license. Despite our efforts to protect our proprietary rights, unauthorized parties may attempt to copy or otherwise obtain and use our technology. In addition, third parties may initiate litigation against us alleging infringement of their proprietary rights or declaring their non-infringement of our intellectual property rights. Effective intellectual property protection may not be available in the United States or other jurisdictions where our games are distributed. Further, we may be unable to renew our existing brand and content licenses on favorable terms or at all and to obtain additional licenses, which could materially harm our business, financial condition, results of operations and prospects. See “Risk Factors—Risks Related to Intellectual Property.”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state, federal and international laws and regulations that apply to companies operating online, including over the internet and mobile platforms, such as those relating to privacy, data security, consumer protection, protection of minors, online safety, advertising and marketing, intellectual property, competition, and taxation, among others, all of which are continuously evolving and developing. As we offer our games in many countries worldwide, foreign jurisdictions may claim we are required to comply with local laws, including in jurisdictions where we have no local presence, offices, or other equipment. It is also likely that as our business grows and evolves and our games are played in a greater number of countries, we will become subject to laws and regulations in additional jurisdictions. The scope and interpretation of the laws and regulations that are or may be applicable to us are often uncertain and may conflict. Additional laws in these and other areas affecting our business are likely to be enacted in the future, which could limit or require changes to the ways in which we conduct our business and could both increase our compliance costs and decrease our revenues.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become liable under additional laws or regulations, or we are not able to comply with these additional laws or regulations, we could be directly harmed, and we may be forced to implement new measures to reduce our exposure to this liability. This may require us to expend substantial resources, modify our games, or block users from a particular jurisdiction, each of which would harm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games are based upon traditional casino games, such as slots and poker. We believe that our games and game features do not constitute gambling and are intended for entertainment purposes only. Our games do not offer an opportunity to win real money. However, there is significant opposition in some jurisdictions to social gaming, including social casino gaming, and some jurisdictions have expressed concern that social casino games, in particular, present significant risks of encouraging gambling behavior especially with respect to children and people who already have gambling problems.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color w:val="auto"/>
        </w:rPr>
        <w:t>gaming groups in several states and countries have specifically targeted social casino games, which could lead these jurisdictions to adopt legislation or impose a regulatory framework to govern social gaming or social casino gaming specifically. For example, a bill introduced in Australia in 2020 would amend that country’s Interactive Gambling Act of 2001 to ban online social casino games. These opposition efforts could lead to a prohibition on social gaming or social casino gaming altogether, restrict our ability to advertise our games or substantially increase our costs to comply with regulations, all of which could have an adverse effect on our results of operations, cash flows and financial condition. We cannot predict the likelihood, timing, scope or terms of any such legislation or regulation or the extent to which they may affect our business. Furthermore, in 2020 and 2021 plaintiffs in several U.S. states sued Apple and/or Google alleging that the platforms violated state gambling laws by allowing the plaintiffs to download and play social casino games, including certain of our social casino games. We cannot predict the outcome of these lawsuits and these lawsuits, or similar suits in the future, could cause Google, Apple, or other third-party platform providers to deny our social casino games access to their platforms or the platforms could seek to pass on liability, including defense costs, for these suits to us under the indemnity provisions in our agreements with such platforms, which could have a material adverse effect on our business.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United States Court of Appeals for the Ninth Circuit has previously held that a social casino game produced by one of our competitors should be considered illegal gambling under Washington state law. Similar lawsuits have been filed against other defendants, including us. In April 2018, a putative class action lawsuit was filed against us in federal district court, alleging that certain of our social casino games, among other things, violate Washington State gambling laws and consumer protection laws. In August 2020, we entered into a settlement agreement to settle this matter, which was approved by the court in February 2021. On May 17, 2022, Guy David Ben Yosef filed a motion for approval of a class action lawsuit in district court in Tel Aviv-Jaffa Israel against Playtika Group Israel Ltd. (“PGI”), on behalf of all of PGI’s customers who made game token purchases in Israel as part of games marketed by PGI during the seven years preceding the filing of the motion and for all subsequent customers of such games who purchase tokens until the resolution of the claim. The motion alleges that certain of the Company’s slot, poker and solitaire-themed games, including Slotomania, Caesars Slots, Solitaire Grand Harvest, House of Fun and Poker Heat, constitute illegal gambling and are prohibited under Israeli law and are misleading under Israeli consumer protection laws and alleges unjust enrichment. The motion asserts damages of NIS 50 million. Additional legal proceedings, including demands for arbitration, targeting our games and claiming violations of state, federal or foreign laws, including gambling laws, have occurred and could occur, based on the unique and particular laws of each jurisdiction, particularly as litigation and regulations continue to evolve. See “Legal Proceedings” and “Risk Factors—Legal proceedings may materially adversely affect our business and our results of operations, cash flows and financial condition” for more information.</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widespread implementation of in-game purchases of virtual items and virtual currency in our industry has resulted in the expanded application of existing laws or regulations and has prompted calls for new laws and regulations to address the perceived problems with these virtual items and currency. Calls for legislation have been fueled by complaints from parents whose children have incurred sizeable charges online purchasing virtual currency, “lives” or “power-ups” in order to continue to play or further advance in games advertised as being “free to play.” In December 2022, Epic Games and the U.S. Federal Trade Commission, or the FTC, announced a settlement, in which, among other things, Epic Games agreed to pay a $245 million to the FTC relating to in-game purchases in Epic Game’s popular Fortnite game. This may result in legislation affecting how we advertise, operate, and earn revenues in games with these features.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has been considerable focus on in-game offers to purchase virtual goods or premiums with real world currency (or with virtual in-game currency that can be purchased with real world currency) for which the player doesn’t know prior to purchase the specific digital goods or premiums they will be receiving (sometimes referred to as loot boxes, crates, or mystery prizes). Some commentators have noted that these features are similar to gambling because users are providing something of value for the chance to win a prize, with a large number of prizes having relatively modest value or utility and fewer having significant value or utility. The FTC held a public workshop on loot boxes in August 2019, and at least one bill has been introduced in the U.S. Senate that would regulate loot boxes in games marketed to minors. Loot boxes have been banned in Belgium and the Netherlands, and gambling regulators in at least 16 jurisdictions (Austria, Czech Republic, France, Gibraltar, Ireland, Isle of Man, Jersey, Latvia, Malta, Netherlands, Norway, Poland, Portugal, Spain, Washington State, United States, and the United Kingdom) signed an agreement in 2018 to investigate the role of loot boxes in digital games. China has imposed stringent requirements and limitation on the offering of loot boxes including, among other things, that loot boxes cannot be acquired with real money or virtual currency, that all items available in loot boxes must be obtainable through other means, and the odds of winning must be published. Japan has been advancing a self-regulatory approach to loot boxes.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outcome of many of these initiatives is not yet known, but we anticipate there may be legislation forthcoming in at least some of these jurisdictions that could affect how we offer these features which could negatively affect our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Israeli headquartered company with users around the globe. We collect, process, store, use, and share data, some of which contains personal information, in connection with operating our business. Consequently, our business is subject not only to the Israeli Protection of Privacy Law, 5741-1981, or the PPL, and the Privacy Protection Regulations (Data Security), 5777-2017, but also to a number of U.S. and international laws and regulations governing data privacy and security, including with respect to the collection, processing, storage, use, transmission, sharing, and protection of personal information and other consumer data. Such laws and regulations may be inconsistent across jurisdictions or conflict with other rules. The applicability of these laws and regulations to us, and their scope and interpretation, are often uncertain, particularly with respect to laws and regulations outside the United States.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European Union has adopted strict data privacy and security regulations. The European Union’s GDPR, which became effective in May 2018, imposes strict requirements on controllers and processors of personal data, including, for example, higher standards for obtaining consent from individuals to process their personal data, more robust disclosures to individuals and a strengthened individual data rights regime, and shortened timelines for data breach notifications. The GDPR created new compliance obligations applicable to our business and some of our players,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The GDPR increases financial penalties for noncompliance (including possible fines of up to 4% of global annual revenues for the preceding financial year or €20 million (whichever is higher) for the most serious violations). The United Kingdom operates a separate but similar regime to the European Union that allows for fines of up to the greater of £17.5 million or 4% of the total worldwide annual turnover of the preceding financial year. Further, we had to comply with the GDPR and also the United Kingdom GDPR (UK GDPR), which, together with the amended United Kingdom Data Protection Act 2018, retains the GDPR in United Kingdom national law. These changes may lead to additional costs and increase our overall risk exposure.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scope of data privacy regulations worldwide continues to evolve. Further, new, increasingly restrictive regulations are coming into force all around the world, such as in China, Belarus, Thailand and Brazil, but also within the United States. For example, in 2018, California enacted the California Consumer Privacy Act, or the CCPA, which became effective on January 1,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short, the CCPA:</w:t>
      </w:r>
    </w:p>
    <w:p>
      <w:pPr>
        <w:spacing w:after="0" w:line="252"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California consumers, and employees as of January 1, 2023, with new rights to access and request deletion of their personal information, opt out of certain personal information sharing, and receive detailed information about how their personal information is collected, used, and shared;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affect marketing activities due to the CCPA’s broad definitions of personal information and sale, and</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private actions and permits class actions in the event of a data breach which could result in businesses being subject to substantial statutory fines in cases involving thousands of impacted consumers where the business is found to have failed to implement and maintain reasonable and appropriate security procedures.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effects of the CCPA are significant and have required, and could continue to require, us to modify our data, security, and marketing practices and policies, and to incur substantial costs and expenses in an ongoing effort to comply with the CCPA and other applicable data protection laws Some observers have noted that the CCPA could mark the beginning of a trend toward more stringent state privacy legislation in the U.S., which could increase our potential liability and adversely affect our business. Both Virginia and Colorado have enacted similar legislation to the CCPA, and other states are considering similar legislation. Further, in November 2020, California voters passed the California Privacy Rights Act, or CPRA. The CPRA significantly expands the CCPA, including by introducing additional obligations such as data minimization and storage limitations, granting additional rights to consumers, such as correction of personal information and additional opt-out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rights, and creates a new entity, the California Privacy Protection Agency, to implement and enforce the law. The CCPA and CPRA could subject us to additional compliance costs as well as potential fines, individual claims and commercial liabilities.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 has also implemented data protection laws and regulations, including the PPL. The PPL imposes certain obligations on the owners of databases containing personal data, including, e.g.,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Protection of Privacy Regulations (Data Security), 5777-2017, that entered into force in May 2018, impose comprehensive data security requirements on the processing of personal data. The Protection of Privacy Regulations (Transfer of Data to Overseas Databases), 5761-2001, further impose certain conditions on cross-border transfers of personal data from databases in Israel. Moreover, the European Commission is currently reevaluating its adequacy decision with respect to the flow of personal data into Israel. A change in this adequacy decision might affect the conditions in which we will be able to transfer personal data from the European Union (and Norway, Liechtenstein and Iceland) into Israel.</w:t>
      </w:r>
    </w:p>
    <w:p>
      <w:pPr>
        <w:spacing w:after="0" w:line="21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Certain violations of the PPL are considered a criminal and/or a civil offense and could expose the violating entity to criminal, administrative, and financial sanctions, as well as to civil actions. Additionally, the Israel Privacy Protection Authority, or the Privacy Protection Authority, may issue a public statement that an entity violated the PPL, and such a determination could potentially be used against such entity in civil litigation. The Israeli Ministry of Justice has introduced amendments to the PPL designed, among other things, to enhance the Privacy Protection Authority’s investigative and enforcement powers (including powers to impose fines) and to broaden data subject rights.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there currently are a number of other proposals related to data privacy and security pending before several legislative and regulatory bodies. For example, the European Union is contemplating the adoption of the Regulation on Privacy and Electronic Communications, or the e-Privacy Regulation, which is currently making its way through the European Union legislative process. The current draft of the e-Privacy Regulation imposes strict opt-in e-marketing rules which potentially require new consents (with limited exceptions for business to business communications) and significantly increases fining powers to the same levels as the GDPR. Regulation of cookies and web beacons may lead to broader restrictions on our online activities, including efforts to understand followers’ internet usage and promote ourselves to them.</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in the United States and other non-U.S. jurisdictions regarding data privacy, cybersecurity, and consumer protection, which are continuously evolving and developing. The scope and interpretation of the laws that are or may be applicable to us are often uncertain and may be conflicting, particularly laws outside the United States. It is also likely that as our business grows and evolves and our games are played in a greater number of countries, we will become subject to additional data privacy, cybersecurity, and consumer protection laws and regulations in additional jurisdictions. 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modify our games, or block users from a particular jurisdiction, each of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approximately 3,800 employees. We believe our people are one of our most important competitive advantages. We rely on our highly skilled, technically trained and creative employees with desirable skill sets, including game designers, engineers and project managers, to develop new technologies and create innovative games.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win and keep our talented employees, we devote significant resources to identifying, hiring, training, successfully integrating and retaining these employees. We believe we are able to attract and retain top talent by creating a culture that challenges and engages our employees, offering them opportunities to learn, grow and achieve their career goals. We offer an array of career development services to our employees including access to professional trainings through our Playtika Academy program or external resources, access to leadership and manager trainings, including our annual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workshop and mentoring opportunities. Further, we believe that our commitment to a culture of inclusion is integral to our goal of attracting and retaining the best talent and ultimately driving our business performance.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offer comprehensive compensation and benefits packages to our employees, including, for our U.S. employees, a 401(k) Plan, medical, dental and vision benefits, medical and dependent care flexible spending accounts, short-term and long-term disability insurance and life and accidental death disability insurance. Generally, our non-U.S. employees are eligible for welfare benefits, annual vacation leave, sick leave, convalescence pay, transportation expense reimbursement, advanced study funds, life and disability insurance and other customary or mandatory social benefits. We also offer stock-based compensation as a way to attract and retain key talent. See </w:t>
      </w:r>
      <w:r>
        <w:rPr>
          <w:rFonts w:ascii="Times New Roman" w:cs="Times New Roman" w:eastAsia="Times New Roman" w:hAnsi="Times New Roman"/>
          <w:sz w:val="18"/>
          <w:szCs w:val="18"/>
          <w:i w:val="1"/>
          <w:iCs w:val="1"/>
          <w:color w:val="auto"/>
        </w:rPr>
        <w:t>Note 13, Equity Transactions and Stock Incentive Plan,</w:t>
      </w:r>
      <w:r>
        <w:rPr>
          <w:rFonts w:ascii="Times New Roman" w:cs="Times New Roman" w:eastAsia="Times New Roman" w:hAnsi="Times New Roman"/>
          <w:sz w:val="18"/>
          <w:szCs w:val="18"/>
          <w:color w:val="auto"/>
        </w:rPr>
        <w:t xml:space="preserve"> to our audited consolidated financial statements and “Management’s Discussion and Analysis of Financial Condition and Results of Operations—Stock-based compensation” for further discussion of our benefit plans and stock-based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Available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HaChoslim St 8 Herzliya Pituach, Israel and our telephone number is 972-73-316-3251. Our website address is </w:t>
      </w:r>
      <w:r>
        <w:rPr>
          <w:rFonts w:ascii="Times New Roman" w:cs="Times New Roman" w:eastAsia="Times New Roman" w:hAnsi="Times New Roman"/>
          <w:sz w:val="18"/>
          <w:szCs w:val="18"/>
          <w:i w:val="1"/>
          <w:iCs w:val="1"/>
          <w:color w:val="auto"/>
        </w:rPr>
        <w:t>www.playtika.com</w:t>
      </w:r>
      <w:r>
        <w:rPr>
          <w:rFonts w:ascii="Times New Roman" w:cs="Times New Roman" w:eastAsia="Times New Roman" w:hAnsi="Times New Roman"/>
          <w:sz w:val="18"/>
          <w:szCs w:val="18"/>
          <w:color w:val="auto"/>
        </w:rPr>
        <w:t>. Through a link on the Investors section of our website, we make the following filings available free of charge and as soon as reasonably practicable after they are electronically filed or furnished with the SEC: our Annual Reports on Form 10-K, our Quarterly Reports on Form 10-Q, our Current Reports on Form 8-K and any amendments to such reports filed or furnished pursuant to Section 13(a) or 15(d) of the Exchange Act, and the rules and regulations promulgated thereunder. The information contained on, or that can be accessed through, our website is not incorporated by reference into, and is not a part of, this filing.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filings are also available free of charge on the SEC’s website at www.sec.gov.</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any of which could subsequently have an adverse effect on the trading price of our common stock,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Additional risks not currently known to us or that we currently deem to be immaterial also may materially adversely affect our business, financial condition and results of operations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more fully described below that relate to our business include, but are not limited to, the following important risks:</w:t>
      </w:r>
    </w:p>
    <w:p>
      <w:pPr>
        <w:spacing w:after="0" w:line="252" w:lineRule="exact"/>
        <w:rPr>
          <w:sz w:val="20"/>
          <w:szCs w:val="20"/>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platforms, such as the iOS App Store, Facebook, and Google Play Store, to distribute our games and collect revenues, and such platforms may adversely change their policies;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games generate a majority of our revenues;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percentage of total users generate a majority of our revenues;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free-to-play business model, and the value of virtual items sold in our games, is highly dependent on how we manage the game revenues and pricing models;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make acquisitions and/or integrate acquired businesses successfully could limit our growth or disrupt our plans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develop new games;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games may not be successful after launch;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with low barriers to entry;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are subject to obligations and restrictive covenants under our debt instruments;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Yuzhu Shi, whose economic and other interests in our business may differ from yours;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restrictions or proceedings could adversely impact our business and limit the growth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economic recession or periods of increased inflation, and any reductions to household spending on the types of discretionary entertainment we offer;</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ownership, including our significant operations in Israel, Ukraine and Belarus and the fact that our controlling stockholder is a Chinese-owned company;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other disruptions could compromise our information or the information of our players and expose us to liability;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and proprietary information could adversely impact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platforms, such as the iOS App Store, Facebook, and Google Play Store, to distribute our games and collect revenues generated on such platforms and rely on third-party payment service providers to collect revenues generated on our own platforms.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games are primarily accessed and operated through platforms operated by Apple, Facebook and Google. A significant number of the virtual items that we sell to paying players are purchased using the payment processing systems of these platforms and, for the year ended December 31, 2022, 71.5% of our revenues were generated through the iOS App Store, Facebook, and Google Play Store. Consequently, our expansion and prospects depend on our continued relationships with these providers, and any other emerging platform providers that are widely adopted by our target players. We are subject to the standard terms and conditions that these platform providers have for application developers, which govern the content, promotion, distribution, operation of games and other applications on their platforms, as well as the terms of the payment processing services provided by the platforms, and which the platform providers can change unilaterally on short or without notice. Our business would be harmed if:</w:t>
      </w:r>
    </w:p>
    <w:p>
      <w:pPr>
        <w:spacing w:after="0" w:line="21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providers discontinue or limit our access to their platforms;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private parties, such as internet providers, impose bandwidth restrictions or increase charges or restrict or prohibit access to those platforms;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increase the fees they charge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modify their algorithms, communication channels available to developers, respective terms of service or other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decline in popularity;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elect or are required to change how they label free-to-play games or take payment for in-game 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block or limit access to the genres of games that we provide in any jurisdiction;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impose restrictions or spending caps or make it more difficult for players to make in-game purchases of virtual items;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change how the personal information of players is made available to developers or develop or expand their own competitive offerings; or</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comply with the platform providers’ terms of service.</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platform providers do not perform their obligations in accordance with our platform agreements, we could be adversely impacted. For example, in the past, some of these platform providers have been unavailable for short periods of time, unexpectedly changed their terms or conditions, or experienced issues with their features that permit our players to purchase virtual items. Additionally, we rely on two separate third-party online payment service providers to process any payments generated on games accessed and operated on our own Direct-to-Consumer platforms. If any of these third-party service providers is unable to process payments, even for a short period of time, our business would be harmed. These platforms and our third-party online payment service providers may also experience security breaches or other issues with their functionalities.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or Epic Games, attempted to bypass Apple and Google’s payment systems for in-game purchases with an update that allowed users to make purchases directly through Epic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Games in its game, Fortnite. Apple and Google promptly removed Fortnite from their respective app stores, and Apple filed a lawsuit seeking injunctive relief to block the use of Epic Games’ payment system and seeking monetary damages to recover funds made while the updated version of Fortnite was active. Apple was awarded the monetary damages to recover these funds, although the case is under appeal as of the date of this annual report.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limited number of games have generated a majority of our revenues, and we may be unable to offset any declines in revenues from our top games.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business is dependent on the success of a limited number of games and on our ability to consistently enhance and improve upon games that achieve significant popularity. Historically, we have depended on such games for a majority of our revenues and we expect that this dependency will continue for the foreseeable future. For example, for the years ended December 31, 2022 and 2021, our top two games by revenue,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Bingo Blitz</w:t>
      </w:r>
      <w:r>
        <w:rPr>
          <w:rFonts w:ascii="Times New Roman" w:cs="Times New Roman" w:eastAsia="Times New Roman" w:hAnsi="Times New Roman"/>
          <w:sz w:val="18"/>
          <w:szCs w:val="18"/>
          <w:color w:val="auto"/>
        </w:rPr>
        <w:t>, collectively generated approximately half of our revenues for each period. For a game to remain popular and to retain players, we must effectively enhance, expand and upgrade the game with new features, offers, and content that players find attractive. We may not be successful in these efforts, including not providing enough new features, offers and content or providing too many new features, offers and content. Each of our games requires significant product development, marketing and other resources to develop, launch and sustain popularity through regular upgrades, expansions and new content, and such costs on average have increased over time. Even with these investments, we may experience sudden declines in the popularity of any of our games and fluctuations in the number of daily average users and monthly average users.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attract and retain a significant number of new and existing players to our games or if we experience a reduction in the number of players of our most popular games or any other adverse developments relating to our most popular games occur, our market share and reputation could be harmed and there could be a material adverse effect on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small percentage of total users have generated a majority of our revenues, and we may be unable to attract new paying or retain existing paying users and maintain their spending levels.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of free-to-play games typically rely on a small percentage of players who spend moderate or large amounts of money in games to receive special advantages, levels, access and other features, offers, or content. The vast majority of users play for free or only occasionally spend money in games. As a result, compared to all users who play our games in any period, only a small percentage of such users were paying users. For example, for the year ended December 31, 2022, our average Daily Payer Conversion was 3.3%. In addition, a large percentage of our revenues comes from a small subset of these paying users. Because many users do not generate revenues, and each paying user does not generate an equal amount of revenues, it is particularly important for us to retain the small percentage of paying users and to maintain or increase their spending levels. There can be no assurance that we will be able to continue to retain paying users or that paying users will maintain or increase their spending. It is possible that we could lose more paying users than we gain in the future, which would cause a decrease in the monetization of our games and could have a material adverse effect on our business, financial condition and results of operations.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new user acquisition and on monetization strategies to convert users to paying users, retain our existing paying users and maintain or increase the spending levels of our paying users. As privacy rules continue to evolve, the effectiveness of our user acquisition activities may go down, and the cost of those activities may increase. If our investments on new user acquisition and monetization strategies do not produce the desired results, we may fail to attract, retain or monetize users and may experience a decrease in spending levels of existing paying users, any of which would result in lower revenues for our games and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We believe that the key factors in attracting and retaining paying users include our ability to enhance existing games and game experiences in ways which are specifically appealing to paying users. These abilities are subject to various uncertainties, including but not limited to:</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an enhanced experience for paying users without adversely affecting the gameplay experience for non-paying users;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anticipate and respond to changing user interests and preferences generally and to changes in the gaming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effective amounts of new content to our players;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against a large and growing number of industry participants with essentially no barriers to entry;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integrate and retain skilled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penetration in, and enter into new, demographic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 positive return on our user acquisition and other marketing investments and to drive organic growth;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minimize and quickly resolve bugs or outages.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users also depend on our customer support organization to answer questions relating to our games. Our ability to provide high-quality effective customer support is largely dependent on our ability to attract, resource, and retain employees who are not only qualified to support our users, but are also well versed in our games. Any failure to maintain high-quality customer support, or a market perception that we do not maintain high-quality customer support, could harm our reputation and adversely affect our ability to sell virtual items within our games to existing and prospective users.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users, especially paying users, it would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a free-to-play business model, which depends on players making optional in-game purchases, and the value of the virtual items sold in our games is highly dependent on how we manage the game revenues and pricing models.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games are available to players for free, and we generate nearly all of our revenues from the sale of virtual items when players make voluntary in-game purchases. For example, in each of the years ended December 31, 2022 and 2021, we derived 97.9% and 97.1% of our revenues from in-game purchases,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Paying users usually spend money in our games because of the perceived value of the virtual items that we offer for purchase. The perceived value of these virtual items can be impacted by various actions that we take in the games, such as offering discounts, giving away virtual items in promotions or providing easier non-paid means to secure such virtual items. If we fail to manage our game economies properly, players may be less likely to spend money in the games, which could have a material adverse effect on our business, financial condition and results of operations.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Unrelated third parties have developed, and may continue to develop, “cheats” or guides that enable players to advance in our games or result in other types of malfunction, which could reduce the demand for in-game virtual items. In particular, for our games where players play against each other, such as our </w:t>
      </w:r>
      <w:r>
        <w:rPr>
          <w:rFonts w:ascii="Times New Roman" w:cs="Times New Roman" w:eastAsia="Times New Roman" w:hAnsi="Times New Roman"/>
          <w:sz w:val="18"/>
          <w:szCs w:val="18"/>
          <w:i w:val="1"/>
          <w:iCs w:val="1"/>
          <w:color w:val="auto"/>
        </w:rPr>
        <w:t xml:space="preserve">World Series of Poker </w:t>
      </w:r>
      <w:r>
        <w:rPr>
          <w:rFonts w:ascii="Times New Roman" w:cs="Times New Roman" w:eastAsia="Times New Roman" w:hAnsi="Times New Roman"/>
          <w:sz w:val="18"/>
          <w:szCs w:val="18"/>
          <w:color w:val="auto"/>
        </w:rPr>
        <w:t>game, there is a higher risk that these “cheats” will enable players to obtain unfair advantages over those players who play fairly,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 the experience of those players. Additionally, these unrelated third parties may attempt to scam our players with fake offers for virtual items or other game benefits. These scams may harm the experience of our players, disrupt the economies of our games and reduce the demand for our virtual items, which may result in increased costs to combat such programs and scams, a loss of revenues from the sale of virtual items and a loss of players. As a result, players may have a negative gaming experience and be less likely to spend money in the games,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make acquisitions and integrate any acquired businesses successfully could limit our growth or disrupt our plans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a significant portion of our growth has been as a result of our acquisition of complementary studios and games, rather than in-house development, including our acquisition of Wooga GmbH, or Wooga, in 2018, Supertreat GmbH, or Supertreat, in 2019, Seriously Holding Corp., or Seriously, in 2019, and Reworks Oy, or Reworks, in 2021, and JustPlay.LOL, or JustPlay, in 2022, and we anticipate that acquisitions will continue to be an important source of growth in the near future. Our ability to succeed in implementing our strategy will depend to some degree upon our ability to identify quality games, applications and businesses and complete commercially viable acquisitions. We cannot assure you that acquisition opportunities will be available on acceptable terms or at all, or that we will be able to obtain necessary financing or regulatory approvals to complete potential acquisitions. Our ability to successfully grow through these types of transactions also depends upon our ability to identify, negotiate, complete and integrate suitable target businesses, technologies and products and to obtain any necessary financing, and is subject to numerous risks, including:</w:t>
      </w:r>
    </w:p>
    <w:p>
      <w:pPr>
        <w:spacing w:after="0" w:line="21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acquisition, investment or other strategic alliance opportunities that we deem suitable or available on favorable terms;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acquired businesses, technologies or products, including issues maintaining uniform standards, procedures, controls and policies, or applying Boost to our new games;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efforts to expand and unanticipated challenges in entering into new categories of games and applications, including design entertainment and home design;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properly valuing prospective acquisitions, particularly those with limited operating histories;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fully identify potential risks and liabilities associated with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investments or strategic alliances;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overall margins;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 day-to-day operations of our existing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expected cost synergies associated with such acquisitions may not be fully realized in the anticipated amounts or within the contemplated timeframes, which could result in increased costs and have an adverse effect on our prospects, results of operations, cash flows and financial condition. We would expect to incur incremental costs and capital expenditures related to integration activities. Acquisition transactions may also disrupt our ongoing business, as the integration of acquisitions would require significant time and focus from management and might delay the achievement of our strategic objectives.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identify suitable target businesses, technologies or products, or if we are unable to integrate any acquired businesses, technologies and products effectively, our business, financial condition and results of operations could be materially and adversely affected, and we can provide no assurances that we will be able to adequately supplement any such inability to successfully acquire and integrate with organic growth. Also, while we employ several different methodologies to assess potential business opportunities, the businesses we may acquire may not meet or exceed our expectations.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or acquire new games that achieve broad popularity, we may be unable to attract new players or retain existing players, which could negatively impact our business.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Developing or acquiring new games that achieve broad popularity is vital to our continued growth and success. Our ability to successfully develop or acquire new games and their ability to achieve broad popularity and commercial success depends on a number of factors, including our ability to:</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game designers, product managers and engineers;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develop, sustain and expand games that are fun, interesting and compelling to play over long periods of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new games and enhancements to our new and existing players;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viral organic growth and gain customer interest in our games;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launch delays and cost overruns on new games and game expansions;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downtime and other technical difficulties;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player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enhance games after their initial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mobile platforms;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quality social game experience;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the timing and expense of our operations.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uncertainties make it difficult to know whether we will succeed in continuing to develop or acquire successful games and launch new games that achieve broad popularity. If we are unable to successfully acquire new games or develop new games in-house, it could have a material effect on our pipeline and negatively affect our growth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with low barriers to entry, and our success depends on our ability to effectively compete.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mobile gaming industry is a rapidly evolving industry with low barriers to entry, and we expect more companies to enter the industry and a wider range of competing games to be introduced. As a result, we are dependent on our ability to successfully compete against a large and growing number of industry participants. In addition, the market for our games is characterized by rapid technological developments, frequent launches of new games and enhancements to current games,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 Our competitors may adapt to an emerging technology or business model more quickly or effectively, developing products and games or business models that are technologically superior to ours, more appealing to consumers, or both. Potential new competitors could have significant resources for developing, enhancing or acquiring games and gaming companies, and may also be able to incorporate their own strong brands and assets into their games or distribution of their games. We also face competition from a vast number of small companies and individuals who may be successful in creating and launching games and other content for these devices and platforms using relatively limited resources and with relatively limited start-up time or expertise. New game developers enter the gaming market continuously, some of which experience significant success in a short period of time. A significant number of new titles are introduced each day.</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obtaining and maintaining high ratings of our games on the platforms on which we operate are important as they help drive users to find our games. If the ratings of any of our games decline or if we receive significant negative reviews that result in a decrease in our ratings, our games could be more difficult for players to find or recommend. In addition, we may be subject to negative review campaigns or defamation campaigns intended to harm our ratings. Any such decline may lead to loss of users and revenues, additional advertising and marketing costs, and reputation harm.</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if our platform providers were to develop competitive offerings, either on their own or in cooperation with one or more competitors, our growth prospects could be negatively impacted. For example, Apple recently developed its own video game subscription service, Apple Arcade, which may compete further with our games. Increased competition and success of other brands, genres, business models and games could result in, among other things, a loss of players, or negatively impact our ability to acquire new players cost-effectively, which could have a material adverse effect on our business, financial condition and results of operations.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business partners or third-party software providers. By doing so, these competitors may increase their scale, their ability to meet the needs of existing or prospective players and compete for similar human resources. If we are unable to compete effectively, successfully and at a reasonable cost against our existing and future competitors, our results of operations, cash flows and financial condition would be adversely impacted.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ability to raise additional capital or to fund our operations, expose us to interest rate risk, limit our ability to react to changes in the economy, and prevent us from making debt service payments. In addition, we are subject to obligations and restrictive covenants under our debt instruments that may impair our ability to operate or with which we may not be able to maintain compliance.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highly leveraged company. In March 2021, we issued $600.0 million aggregate principal amount of our 4.250% senior notes due 2029 (our “Notes”) in a private offering pursuant to an indenture dated March 11, 2021 (the “Indenture”).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of December 31, 2022, we had $2,466.8 million aggregate principal amount of outstanding indebtedness, in addition to $600.0 million available for borrowing under our Revolving Credit Facility at that date. For the year ended December 31, 2022, we made net principal payments of $19.0 million and paid $107.5 million for interest (net of hedges). Our indebtedness also may include senior secured credit facilities if drawn upon, which we refer to herein as the Credit Facilities, consisting of a $600 million senior secured revolving credit facility, which we refer to herein as the Revolving Credit Facility, and a $1,900 million senior secured first lien term loan, which we refer to herein as the Term Loan. The Credit Facilities were provided pursuant to a credit agreement, which we refer to herein as the Credit Agreement, dated as of December 10, 2019 and amended on March 11, 2021, by and among us, the lenders party thereto and Credit Suisse AG, Cayman Islands Branch, as administrative agent and collateral agent, and the other parties thereto, as amended.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us, including, but not limited to, the following:</w:t>
      </w:r>
    </w:p>
    <w:p>
      <w:pPr>
        <w:spacing w:after="0" w:line="252"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money for our working capital, capital expenditures, debt service requirements, acquisitions, research and development, strategic initiatives or other purposes;</w:t>
      </w: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and any failure to comply with the obligations of any of our debt instruments, including restrictive covenants, financial covenants and borrowing conditions, could result in an event of default under the agreements governing our indebtedness;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the payment of interest and the repayment of our indebtedness, thereby reducing funds available to us for other purposes;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operations or business and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are less leveraged and that, therefore, may be able to take advantage of opportunities that our leverage prevents us from exploring;</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industry and competitive conditions;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engaging in development activities, introducing new technologies, or exploiting business opportunities;</w:t>
      </w: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limit the amount of net interest expense that we and our subsidiaries can use in the future as a deduction against taxable income under applicable tax laws;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make non-strategic divestitures;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in the agreements governing our indebtedness, among other things, our ability to borrow additional funds, make investments or dispose of assets;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repurchase shares and pay cash dividends;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Credit Agreement contains a financial covenant applicable to the Revolving Credit Facility thereunder, and our Credit Agreement and the Indenture each contain restrictive covenants that limit our ability to engage in activities that may be in our long-term best interest, including our ability to, among other things:</w:t>
      </w:r>
    </w:p>
    <w:p>
      <w:pPr>
        <w:spacing w:after="0" w:line="20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under certain circumstances;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certain liens or permit them to exist;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sale and lease-back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otherwise transfer, sell or dispose of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stock and make other certain restricted payments;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comply with those covenants could result in an event of default which, if not cured or waived, could result in the acceleration of substantially all of our indebtedness. In the event of such default, the lenders under our Credit Agreement could elect to terminate their commitments thereunder and cease making further loans, and both the lenders under our Credit Agreement and the trustee under the Notes could institute foreclosure proceedings against our assets, and we could be forced into bankruptcy or liquidation.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subject to the restrictions contained in the Credit Agreement and the Indenture. If new indebtedness is added to our current debt levels, the related risks described above could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intensify. Additionally, the Term Loan matures in March 2028, the Revolving Credit Facility matures in March 2026 and the Notes mature in March 2029. We cannot assure you that our business will generate sufficient cash flow from operations or that future borrowings will be available to us under our Credit Agreement or from new indebtedness in an amount sufficient to enable us to pay or refinance our indebtedness or to fund our other liquidity needs.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we will need to refinance all or a portion of our indebtedness on or before maturity. We may not be able to refinance any of our indebtedness at comparable interest rates, on commercially reasonable terms or at all. If such refinancing indebtedness is not available at interest rates comparable to our existing indebtedness our interest expense could materially increase, which would have a negative impact on our results of operations. If we cannot timely refinance our indebtedness, we may have to take actions such as issuing additional equity and reducing, delaying or foregoing capital expenditures, strategic acquisitions and investments. We cannot assure you that any such actions, if necessary, could be implemented on commercially reasonable terms or at 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attract in-game advertisers depends on our ability to design an attractive advertising model that retains players.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vast majority of our revenues are generated by in-game purchases, a growing portion of our revenues are generated from the sale of in-game advertisements. For example, in each of the years ended December 31, 2022 and 2021, we derived 2.1% and 2.9% of our revenues from in-game advertising, respectively. If we are unable to attract and maintain a sufficient player base or otherwise fail to offer attractive in-game advertising models, advertisers may not be interested in purchasing such advertisements in our games, which could adversely affect our revenues from in-game advertising. Alternatively, if our advertising inventory is unavailable and the demand exceeds the supply, this limits our ability to generate further revenues from in-game advertising, particularly during peak hours and in key geographies. Further, a full inventory may divert advertisers from seeking to obtain advertising inventory from us in the future, and thus deprive us of potential future in-game advertising revenues. This could have a material adverse effect on our reputation and our business, financial condition and results of operations.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we include in-game advertising in our games that players view as excessive, such advertising may materially detract from players’ gaming experiences, thereby creating player dissatisfaction, which may cause us to lose players and revenues, and negatively affect the in-game experience for players making purchases of virtual items in our games.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develop new games that achieve success, it is possible that these games could divert players of our other games without growing the overall size of our network, which could harm our results of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develop new games, it is possible that these games could cause players to reduce their playing time and purchases in our other existing games without increasing their overall playing time or purchases. In addition, we also may cross-promote our new games in our other games, which could further encourage players of existing games to divert some of their playing time and spending on existing games. If new games do not grow or generate sufficient additional revenues to offset any declines in purchases from our other games, our revenues could be materially and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Yuzhu Shi controls us through his indirect interest in Playtika Holding UK II Limited and its ownership of our common stock will prevent you and other stockholders from influencing significant decisions.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Yuzhu Shi controls shares representing a majority of our combined voting power through his indirect interest in Playtika Holding UK II Limited, or Playtika Holding UK and its affiliates. As long as Yuzhu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Yuzhu Shi may engage in activities where his interests may not be the same as, or may conflict with, the interests of our other stockholders. Even if Yuzhu Shi were to control less than a majority of our voting power, he may be able to influence the outcome of corporate actions so long as he controls a significant portion of our voting power. For example, as we previously disclosed in June 2021, Yuzhu Shi and certain affiliates of Yuzhu Shi entered into an agreement that, if consummated, would have entitled Giant Network Group Co. Ltd., or Giant, a publicly traded company on the Shenzhen Stock Exchange, to be transferred beneficial ownership of certain shares of ours currently owned by Mr. Shi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and his affiliates, the result of which would have been that Giant would control the voting power of the shares of our common stock and would permit Giant to consolidate us for accounting purposes. Had that transaction been consummated, Giant informed us that they would have been required to obtain the approval of its board of directors for substantially all potential acquisitions by it or its consolidated subsidiaries, including acquisitions by us, and, in certain cases, approval from Giant’s stockholders, which could have created potential conflicts between Yuzhu Shi’s affiliates and us on our acquisition strategies. Further, Giant informed us that had the transaction been consummated, substantially all derivative transactions and other extraordinary transactions undertaken by Playtika would need to be approved by Giant’s board of directors. While that transaction was abandoned, Mr. Shi and his affiliates may, in his and their discretion, seek to consummate similar transactions in the future, and we would not be able to prevent such transactions from being consummated.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stockholders are not able to affect the outcome of any stockholder vote while Yuzhu Shi controls the majority of our voting power (or, in the case of removal of directors, two-thirds of our voting power). Due to his ownership and rights under our amended and restated certificate of incorporation and our amended and restated bylaws, Yuzhu Shi controls, subject to applicable law, the composition of our board of directors, which in turn controls all matters affecting us, including, among other things:</w:t>
      </w:r>
    </w:p>
    <w:p>
      <w:pPr>
        <w:spacing w:after="0" w:line="207" w:lineRule="exact"/>
        <w:rPr>
          <w:sz w:val="20"/>
          <w:szCs w:val="20"/>
          <w:color w:val="auto"/>
        </w:rPr>
      </w:pPr>
    </w:p>
    <w:p>
      <w:pPr>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with respect to our business direction and policies, including the appointment and removal of officers and, in the event of a vacancy on our board of directors, additional or replacement directors;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business combinations or disposition of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our management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composition of the committees on our board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and benefit programs and other human resources policy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other agreements that may adversely affect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tax returns.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concentration of Yuzhu Shi’s ownership could also discourage others from making tender offers, which could prevent holders from receiving a premium for their common stock. Because Yuzhu Shi’s interests may differ from ours or from those of our other stockholders, actions that he takes with respect to us, as our controlling stockholder, may not be favorable to us or to you or our other stockholders.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digital platforms’ rules, including those relating to “loot boxes,” or the potential adoption of regulations or legislation impacting loot boxes, could require us to make changes to some of our games’ economies or design, which could negatively impact the monetization of these games reducing our revenues.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2017, Apple updated its terms of service to require publishers of applications that include “loot boxes” to disclose the odds of receiving each type of item within each loot box to customers prior to purchase. Google similarly updated its terms of service in May 2019. Loot boxes are a commonly used monetization technique in free-to-play mobile games in which a player can acquire a virtual loot box, but the player does not know which virtual item(s) he or she will receive (which may be a common, rare or extremely rare item, and may be a duplicate of an item the player already has in his or her inventory) until the loot box is opened. The player will always receive one or more virtual items when he or she opens the loot box.</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Apple, Google and Facebook are defendants in class action lawsuits alleging, among other things, that social casino games offered through their respective platforms constitute illegal gambling and in addition to seeking monetary damages, the plaintiffs are also seeking that the platforms remove access to the social casino games.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Apple, Google, Facebook or any of our other platform providers changes its developer terms of service to include more onerous requirements or if any of our platform providers were to prohibit the use of loot boxes in games distributed on its digital platform, we would be required to redesign the economies of the affected games in order to continue distribution on the impacted platforms, which would likely cause a decline in the revenues generated from these games and require us to incur additional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there are numerous ongoing academic, political and regulatory discussions in the United States, Europe, Australia and other jurisdictions regarding whether certain game mechanics, such as loot boxes, should be subject to a higher level or different type of regulation than other game genres or mechanics to protect consumers, in particular minors and persons susceptible to addiction, and, if so, what such regulation should include. Additionally, loot box game mechanics have been the subject of increased public discussion – for example, the Federal Trade Commission, or FTC, released a staff perspective in August 2020 highlighting issues raised at an August 2019 public workshop on loot boxes, which encouraged the industry to continue efforts to provide clear and meaningful information to consumers about in-game loot box and related microtransactions. The FTC will continue to monitor developments surrounding loot boxes and take appropriate steps to prevent unfair or deceptive practices. At least one bill has been introduced in the U.S. Senate that would regulate loot boxes in games marketed toward players under the age of 18. The United Kingdom’s Department for Digital, Culture, Media and Sport launched a call for evidence in September 2020 into the impact of loot boxes on in-game spending and gambling-like behavior in connection with the UK government’s review of the 2005 Gambling Act (the principal gambling regulation in the United Kingdom), and politicians have cited loot boxes as an example of recent technology innovation where government regulation is needed. In July 2022, the UK government issued a conclusion to the call for evidence and while it did not call for paid loot boxes to be deemed gambling, it called for companies within the industry to engage in self-regulation, including taking actions to protect children and their ability to access and purchase loot boxes. In October 2020, a Netherlands district administrative court upheld an administrative order by the Dutch gambling authority demanding that Electronic Arts remove certain loots boxes from one of its games because they violated Dutch gambling laws and recommended a maximum fine of 10 million euros for non-compliance with the administrative order. For the first time, the Dutch district administrative court ruled that virtual items can constitute a prize for purposes of gambling legislation. However, in March 2022, the highest administrative court in the Netherlands decided a final appeal in Electronic Arts’ favor and determined that the loot boxes in its FIFA games do not contravene Dutch gambling law.</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other courts or regulatory agencies could adopt similarly broad definitions of prize. Additionally, after being restricted in Belgium and the Netherlands, the United Kingdom House of Lords has issued a report recommending that loot boxes be regulated within the remit of gambling legislation and regulation. See “Business—Government Regulation.” In Australia, there is a proposed Classification Amendment (Loot Boxes) Bill focused on banning loot boxes for minors and preventing the access of loot boxes by minors through classification guidelines. In Spain, the national gambling regulator launched a consultation on the regulation of loot boxes, which ran until March 31, 2021, and asked, among other things, whether loot boxes should come under the remit of Spain’s existing gambling legislation or should be regulated under an additional gambling or consumer protection-led regulatory framework, and whether the government should promote self-regulation. As a result, there may be new measures and decisions on the regulation of loot boxes in Spain. In Brazil, class action lawsuits, including lawsuits against Garena, Activision Blizzard, EA Games, Nintendo, Riot Games, Ubisoft and Valve, Apple, Microsoft, Google and Sony, regarding loot boxes may result in new loot box standards and could result in debate and new legislation. For legislation regarding protection of particular minors, See “Risk Factors— Risks Related to Our Information Technology and Data Security— Data privacy and security laws and regulations in the jurisdictions in which we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of our games, certain mechanics may be deemed to be loot boxes. New regulations by the FTC, U.S. states or other international jurisdictions, which may vary significantly across jurisdictions and which we may be required to comply with, could require that these game mechanics be modified or removed from games, increase the costs of operating our games due to disclosure or other regulatory requirements, impact player engagement and monetization, or otherwise harm our business performance.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games,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regulatory restrictions could adversely impact our business and limit the growth of our operations.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significant opposition in some jurisdictions to social gaming, including social casino games. In September 2018, the World Health Organization added “gaming disorder” to the International Classification of Diseases, defining the disorder as a pattern of behavior characterized by impaired control over gaming and an increase in the priority of gaming over other interests and daily activities. Additionally, the public has become increasingly concerned with the amount of time spent using phones, tablets and computers per day, and these concerns have increased as people spend more time at home and on their devices over the course of the stay-at-home orders caused by the COVID-19 pandemic. Some states or countries have anti-gaming groups that specifically target social casino games. Such opposition could lead these jurisdictions to adopt legislation or impose a regulatory framework to govern interactive social gaming or social casino games specifically. These could result in a prohibition on interactive social gaming or social casino games altogether, restrict our ability to advertise our games, or substantially increase our costs to comply with these regulations, all of which could have an adverse effect on our results of operations, cash flows and financial condition. We cannot predict the likelihood, timing, scope or terms of any such legislation or regulation or the extent to which they may affect our business.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recent case, the U.S. Court of Appeals for the Ninth Circuit decided that a social casino game produced by one of our competitors should be considered illegal gambling under Washington state law. Similar lawsuits and arbitration proceedings have been filed against other defendants, including us. For example, in April 2018, a putative class action lawsuit was filed in federal district court alleging substantially the same causes of action against our social casino games. In August 2020, we entered into a settlement agreement to settle this matter, which was approved by the court in February 2021. In addition, on May 17, 2022, Guy David Ben Yosef filed a motion for approval of a class action lawsuit in district court in Tel Aviv-Jaffa Israel against Playtika Group Israel Ltd. (“PGI”), on behalf of all of PGI’s customers who made game token purchases in Israel as part of games marketed by PGI during the seven years preceding the filing of the motion and for all subsequent customers of such games who purchase tokens until the resolution of the claim. The motion alleges that certain of the Company’s slot, poker and solitaire-themed games, including Slotomania, Caesars Slots, Solitaire Grand Harvest, House of Fun and Poker Heat, constitute illegal gambling and are prohibited under Israeli law and are misleading under Israeli consumer protection laws and alleges unjust enrichment. The motion asserts damages of NIS 50 million. In addition, we received seven demands for arbitration in late 2022 and early 2023 alleging that our games constitute illegal gambling under applicable state law. See “—Legal proceedings may materially adversely affect our business and our results of operations, cash flows and financial condition” and “Business—Legal Proceedings.”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2018, sixteen gambling regulators signed a declaration expressing concern over the blurring of lines between gambling and video game products, including social casino gaming. The regulators committed to work together to analyze the characteristics of video games and social gaming, and to engage in an informed dialogue with the video game and social gaming industries to ensure the appropriate and efficient implementation of applicable laws and regulations. The regulators also indicated they would work closely with their consumer protection enforcement agencies. In May 2019, the regulators presented their conclusions and encouraged national consumer protection authorities to continue to be involved in the debate over the blurring of lines between gambling and video game products, while recognizing that ultimately whether these activities trigger the implementation of gambling regulation would depend on each nation’s gambling definition. Many other similar cases have been filed in the United States related to allegations regarding legality of loot boxes and purported gambling within video games products. </w:t>
      </w:r>
      <w:r>
        <w:rPr>
          <w:rFonts w:ascii="Times New Roman" w:cs="Times New Roman" w:eastAsia="Times New Roman" w:hAnsi="Times New Roman"/>
          <w:sz w:val="18"/>
          <w:szCs w:val="18"/>
          <w:color w:val="231F20"/>
        </w:rPr>
        <w:t>For example, since 2020, there have been many cases filed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social casino game developers, and our third-party platform providers, alleging that social casino games violate various state’s gambling laws, including cases in California, Washington, Mississippi, Alabama, Connecticut, Georgia, New York, Ohio and New Mexico. In addition, at least four cases have been filed in California since 2020 alleging that loot boxes contained in games constitute gambling in violation of California law. </w:t>
      </w:r>
      <w:r>
        <w:rPr>
          <w:rFonts w:ascii="Times New Roman" w:cs="Times New Roman" w:eastAsia="Times New Roman" w:hAnsi="Times New Roman"/>
          <w:sz w:val="18"/>
          <w:szCs w:val="18"/>
          <w:color w:val="000000"/>
        </w:rPr>
        <w:t>We cannot predict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likelihood, timing, scope or terms of any actions taken, </w:t>
      </w:r>
      <w:r>
        <w:rPr>
          <w:rFonts w:ascii="Times New Roman" w:cs="Times New Roman" w:eastAsia="Times New Roman" w:hAnsi="Times New Roman"/>
          <w:sz w:val="18"/>
          <w:szCs w:val="18"/>
          <w:color w:val="231F20"/>
        </w:rPr>
        <w:t>nor can we predict the outcome of any litigation arising,</w:t>
      </w:r>
      <w:r>
        <w:rPr>
          <w:rFonts w:ascii="Times New Roman" w:cs="Times New Roman" w:eastAsia="Times New Roman" w:hAnsi="Times New Roman"/>
          <w:sz w:val="18"/>
          <w:szCs w:val="18"/>
          <w:color w:val="000000"/>
        </w:rPr>
        <w:t xml:space="preserve"> as a result of the declaration, the gambling regulators’ resulting conclusions or any future declarations.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protection concerns regarding games such as ours have been raised in the past and may again be raised in the future. These concerns include: (i) whether social casino games may be shown to serve as a gateway for adolescents to real money gambling; (ii) methods to limit the ability of children to make in-game purchases, and (iii) a concern that mobile game companies are using big data and advanced technology to predict and target “vulnerable” users who may spend significant time and money on mobile games in lieu of other activities. This has resulted in governmental action against another gaming company. In December 2022, Epic Games and the U.S. Federal Trade Commission, or the FTC, announced a settlement,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which Epic Games agreed to pay a $245 million to the FTC relating to in-game purchases in Epic Game’s popular Fortnite game. Such concerns could lead to increased scrutiny over the manner in which our games are designed, developed, distributed and presented. We cannot predict the likelihood, timing or scope of any concern reaching a level that will impact our business, or whether we would suffer any adverse impacts to our results of operations, cash flows and financial condition.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new laws and regulations, or new interpretations or applications of existing laws and regulations in a manner inconsistent with our practices, have restricted, and may continue to restrict, our games, limit our ability to pursue certain business models, require us to incur substantial costs, expose us to civil or criminal liability, or cause us to change our business practices. These laws and regulations are evolving and involve matters relating to our business, including, among others, consumer protection laws such as the EU’s New Deal for Consumers and whistleblowing laws, such as the EU Whistleblower Directive, which could result in monetary penalties and create a range of new compliance obligations.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may materially adversely affect our business and our results of operations, cash flows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party to, are currently party to, and in the future may become subject to additional legal proceedings in the operation of our business, including, but not limited to, with respect to consumer protection, gambling-related matters, securities laws matters, employee matters, alleged service and system malfunctions, alleged intellectual property infringement and claims relating to our contracts, licenses and strategic investments.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example, in April 2018, a putative class action lawsuit, </w:t>
      </w:r>
      <w:r>
        <w:rPr>
          <w:rFonts w:ascii="Times New Roman" w:cs="Times New Roman" w:eastAsia="Times New Roman" w:hAnsi="Times New Roman"/>
          <w:sz w:val="18"/>
          <w:szCs w:val="18"/>
          <w:i w:val="1"/>
          <w:iCs w:val="1"/>
          <w:color w:val="auto"/>
        </w:rPr>
        <w:t>Sean Wilson, et al. v. Playtika LTD, Playtika Holding Corp. and Caesars Interactive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Entertainment, Inc.</w:t>
      </w:r>
      <w:r>
        <w:rPr>
          <w:rFonts w:ascii="Times New Roman" w:cs="Times New Roman" w:eastAsia="Times New Roman" w:hAnsi="Times New Roman"/>
          <w:sz w:val="18"/>
          <w:szCs w:val="18"/>
          <w:color w:val="auto"/>
        </w:rPr>
        <w:t>, was filed against us in federal district court directed against certain of our social casino games, including</w:t>
      </w:r>
      <w:r>
        <w:rPr>
          <w:rFonts w:ascii="Times New Roman" w:cs="Times New Roman" w:eastAsia="Times New Roman" w:hAnsi="Times New Roman"/>
          <w:sz w:val="18"/>
          <w:szCs w:val="18"/>
          <w:i w:val="1"/>
          <w:iCs w:val="1"/>
          <w:color w:val="auto"/>
        </w:rPr>
        <w:t xml:space="preserve"> Caesars Slots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Slotomania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House of Fun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Vegas Downtown Slots</w:t>
      </w:r>
      <w:r>
        <w:rPr>
          <w:rFonts w:ascii="Times New Roman" w:cs="Times New Roman" w:eastAsia="Times New Roman" w:hAnsi="Times New Roman"/>
          <w:sz w:val="18"/>
          <w:szCs w:val="18"/>
          <w:color w:val="auto"/>
        </w:rPr>
        <w:t>. The plaintiff alleged that our social casino games violate Washington State gambling laws and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protection laws. In August 2020, we entered into a settlement agreement, which was approved by the court in February 2021, to settle the </w:t>
      </w:r>
      <w:r>
        <w:rPr>
          <w:rFonts w:ascii="Times New Roman" w:cs="Times New Roman" w:eastAsia="Times New Roman" w:hAnsi="Times New Roman"/>
          <w:sz w:val="18"/>
          <w:szCs w:val="18"/>
          <w:i w:val="1"/>
          <w:iCs w:val="1"/>
          <w:color w:val="auto"/>
        </w:rPr>
        <w:t>Sean Wilson</w:t>
      </w:r>
      <w:r>
        <w:rPr>
          <w:rFonts w:ascii="Times New Roman" w:cs="Times New Roman" w:eastAsia="Times New Roman" w:hAnsi="Times New Roman"/>
          <w:sz w:val="18"/>
          <w:szCs w:val="18"/>
          <w:color w:val="auto"/>
        </w:rPr>
        <w:t xml:space="preserve"> litigation. In addition, on May 17, 2022, Guy David Ben Yosef filed a motion for approval of a class action lawsuit in district court in Tel Aviv-Jaffa Israel against Playtika Group Israel Ltd. (“PGI”), on behalf of all of PGI’s customers who made game token purchases in Israel as part of games marketed by PGI during the seven years preceding the filing of the motion and for all subsequent customers of such games who purchase tokens until the resolution of the claim. The motion alleges that certain of the Company’s slot, poker and solitaire-themed games, including Slotomania, Caesars Slots, Solitaire Grand Harvest, House of Fun and Poker Heat, constitute illegal gambling and are prohibited under Israeli law and are misleading under Israeli consumer protection laws and alleges unjust enrichment. The motion asserts damages of NIS 50 million. In addition, we received seven demands for arbitration in late 2022 and early 2023 alleging that our games constitute illegal gambling under applicable state law.</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December 2016, both a trademark infringement lawsuit was filed in Canadian court by Enigmatus, s.r.o. against Playtika Ltd., our subsidiary, and CIE regarding our use of the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trademarks, and a copyright lawsuit was filed against Wooga in a German court by a former freelance writer for additional remuneration.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23, 2021, the Company, its directors and certain of its officers were named in a putative class action lawsuit filed in the United States District Court for the Eastern District of New York (Bar-Asher v. Playtika Holding Corp. et al.). The complaint is allegedly brought on behalf of a class of purchasers of the Company’s securities between January 15, 2021 and November 2, 2021, and alleges violations of federal securities laws arising out of alleged misstatements or omissions by the defendants during the alleged class period. On March 10, 2022, the court appointed LBMotion Ltd as lead plaintiff, and the plaintiff filed an amended complaint on May 6, 2022. The amended complaint alleges violations of Section 11 and 15 of the Securities Act of 1933 and seeks, among other things, damages and attorneys’ fees and costs on behalf of the putative class. The complaint seeks, among other things, damages and attorneys’ fees and costs on behalf of the putative class. See “Business—Legal Proceedings.” Any securities class action litigation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our games may be implicated in lawsuits where we are not the named defendants. For example, in October 2020 and January 2021 plaintiffs in several U.S. states sued Apple and/or Google alleging that the platforms violated state gambling laws by allowing the plaintiffs to download and play social casino games, including certain of our social casino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games. These lawsuits, or similar suits in the future, could cause Google, Apple, or other third-party platform providers to deny our social casino games access to their platforms or the platforms could seek to pass on liability, including defense costs, for these suits to us under the indemnity provisions in our agreements with such platforms, which could have a material adverse effect on our results of operations, cash flows, or financial condition.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legal proceedings targeting our games and claiming violations of state, federal or foreign laws could occur, based on the unique and particular laws of each jurisdiction, particularly as litigation claims and regulations continue to evolve. We cannot predict the outcome of any legal proceedings to which we may be a party, any of which could have a material adverse effect on our results of operations, cash flows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geographies for a significant portion of our revenues.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players across the globe, we derive a significant portion of our revenues from a limited number of countries and are dependent on access to those markets. For example, for the year ended December 31, 2022, 70.5% of our revenues were derived from users located in the United States and 95.1% from users located in the United States, Canada, Europe and Australia. Our ability to retain paying players depends on our success in these geographies, and if we were to lose access to these markets or experience a decline in players in these geographies for any reason, it would have a material adverse effect on our business, financial condition and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similar health epidemics, contagious disease outbreaks and public perception thereof, could significantly disrupt our operations and adversely affect our business, results of operations, cash flows or financial condition.</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epidemics, medical emergencies and other public health crises outside of our control could have a negative impact on our business. Large-scale medical emergencies can take many forms and can cause widespread illness and death. For example, in December 2019, a strain of coronavirus surfaced in Wuhan, China, and although there are multiple vaccines approved in various jurisdictions, the demand for the vaccines currently may exceed the supply in many jurisdictions in which we operate, and cases continue to exist across the globe, regardless of vaccine availability and rates of vaccination, including as a result of new variants, such as the Omicron variant. Although the full extent of the impact from the COVID-19 pandemic on our business is unknown at this time, it could affect the health of our employees, or otherwise impact the productivity of our employees, third-party organizations with which we partner, or regulatory agencies we rely on, which may prevent us from delivering content in a timely manner or otherwise executing our business strategies. We have followed guidance by the U.S. and Israeli governments and the other local governments in which we operate to protect our employees and our operations during the pandemic and have implemented a remote environment for certain of our employees, and, as a result, may experience inefficiencies in our employees’ ability to collaborate. We have also experienced difficulty in our efforts to recruit and hire qualified personnel during this time. The COVID-19 pandemic could also affect the health of our consumers, which may affect sales of our virtual items in our games or result in lower-than-expected attendance at, or the cancellation of, events hosted by us (as has already occurred for a number of scheduled events). In addition, the COVID-19 pandemic has caused economic hardship, high unemployment rates and other disruptions, both in the United States and the rest of the world. Any of these impacts, including the prolonged continuation of these impacts, could adversely affect our business.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the other potential impacts of the COVID-19 pandemic on our business or operations, and there is no guarantee that any near-term trends in our results of operations will continue, particularly if the COVID-19 pandemic and the adverse consequences thereof continue for a long period of time. Another wave of infections, a continuation of the current environment, or any further adverse impacts caused by the COVID-19 pandemic could further deteriorate employment rates and the economy, detrimentally affecting our consumer base and divert player discretionary income to other uses, including for essential items. These events could adversely impact our cash flows, results of operations and financial conditions and heighten many of the other risks described in these “Risk Factors.” In addition, we could experience a decrease in user activity or spending after the COVID-19 pandemic subsides, which could adversely impact our cash flows,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climate change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Moreover, in periods of increased inflation, such as the one that began in the second half of calendar year 2021, inflationary pressures have caused, and are expected to continue to cause, significant increases in the costs of other products and services which are required by consumers, such as gasoline, home heating and cooling fuels, housing and rental costs, or groceries, which in turn is likely to reduce household spending on the types of discretionary entertainment we offer, and may limit our ability to forecast future demand for our games. Any prolonged or significant decrease in consumer spending on entertainment activities could result in reduced play levels in decreased spending on our games, and could adversely impact our results of operations, cash flows and financial condition.</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and operations are vulnerable to damage or interruption from natural disasters, power losses, telecommunications failures, cyber-attacks, terrorist attacks, acts of war, human errors, break-ins and similar events.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 the past and may continue to experience disruption as a result of catastrophic events. For example, we previously maintained an office in Crimea, but were forced to close and relocate our personnel as a result of Crimea’s annexation by Russia in 2014. Additionally, our primary offices are located in Israel and we have large offices in Belarus and Ukraine, and are therefore subject to a heightened risk of military and political instability. For more information on risks related to our operations in Israel, see “—We have offices and other significant operations located in Israel, and, therefore, our results may be adversely affected by political, economic and military instability in Israel.” For more information on risks related to our operations in Belarus, see “—Our operations may be adversely affected by ongoing developments in Belarus, Ukraine or Romania.”</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occurrence of a catastrophic event, including a global pandemic like the COVID-19 pandemic or the consequences of climate change, we may be unable to continue our operations and may endure system interruptions, reputational harm, delays in application development, lengthy interruptions in our services, breaches of data security and loss of critical data, such as player, customer and billing data as well as intellectual property rights, software versions or other relevant data regarding operations, and there can be no assurances that our insurance policies will be sufficient to compensate us for any resulting losses, which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adequate insurance, and our insurance may not provide adequate levels of coverage against claims.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In addition, we may not be able to obtain or renew certain insurance policies either on commercially reasonable terms of at 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losses, or inability to maintain insurance, could adversely affect our business prospects,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primarily rely on skilled employees with creative and technical backgrounds. The loss of one or more of our key employees, or our failure to attract and retain other highly qualified employees in the future, or any labor disputes, could significantly harm our business.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primarily rely on our highly skilled, technically trained and creative employees to develop new technologies and create innovative games. Such employees, particularly game designers, engineers and project managers with desirable skill sets are in high demand, and we devote significant resources to identifying, hiring, training, successfully integrating and retaining these employees. We have historically hired a number of key personnel through acquisitions, and as competition with several other game companies increases, we may incur significant expenses in continuing this practice. The loss of employees or the inability to hire additional skilled employees as necessary could result in significant disruptions to our business, and the integration of replacement personnel could be time-consuming and expensive and cause additional disruptions to our business.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the continued services and performance of our key personnel, including, in particular Robert Antokol, our co-founder, Chief Executive Officer and Chairperson of our board of directors, and our other executive officers and senior management team. In particular, Mr. Antokol oversees our company and provides leadership for our growth and business strategy. Moreover, our success is highly dependent on the abilities of Mr. Antokol’s decision making process with regards to the day-to-day and ongoing needs of our business, as well as his understanding of our company as the co-founder of Playtika. Although we have entered into an employment agreement with Mr. Antokol, the agreement has no specific duration and he can terminate his employment at any time, subject to certain agreed notice periods and post-termination restrictive covenants. We do not maintain key-man insurance for Mr. Antokol or any other executive officer or member of our senior management team.</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games are created, developed, enhanced and supported in our in-house game studios. The loss of key game studio personnel, including members of management as well as key engineering, game development, artists, product, marketing and sales personnel, could disrupt our current games, delay new game development or game enhancements, and decrease player retention, which would have an adverse effect on our business.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guarantee we will continue to attract the personnel we need to maintain our competitive position. In particular, we expect to face significant competition from other companies in hiring such personnel as well as recruiting well-qualified staff in multiple international jurisdictions. Furthermore, our competitors may lure away our existing personnel by offering them employment terms that our personnel view as more favorable. As we mature, the incentives to attract, retain and motivate our staff provided by our equity awards or by future arrangements, such as through cash bonuses, may not be as effective as in the past. In addition, disputes with employees or works council or other campaigns involving our employees could adversely affect our business. If we do not succeed in attracting, hiring and integrating excellent personnel, or retaining and motivating existing personnel, we may be unable to grow effectively.</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and third-party tools and do not independently verify such metrics. Certain of our performance metrics are subject to inherent challenges in measurement, and real or perceived inaccuracies in such metrics may harm our reputation and adversely affect our business.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track certain performance metrics, including the number of active and paying players of our games using a combination of internal and third-party analytics tools, including such tools provided by Apple, Facebook and Google. Our performance metrics tools have a number of limitations (including limitations placed on third-party tools, which are subject to change unilaterally by the relevant third parties) and our methodologies for tracking these metrics or access to these metrics may change over time, which could result in unexpected changes to our metrics, including the metrics we report. If the internal or external tools we use to track these metrics undercount or over-count performance or contain technical errors, the data we report may not be accurate, and we may not be able to detect such inaccuracies, particularly with respect to third-party analytics tools. In addition, limitations or errors with respect to how we measure data (or how third parties present that data to us) may affect our understanding of certain details of our business, which could affect our long-term strategies. We also may not have access to comparable quality data for games we acquire with respect to periods before integration, which may impact our ability to rely on such data. Furthermore, such limitations or errors could cause players, analysts or business partners to view our performance metrics as unreliable or inaccurate. If our performance metrics are not accurate representations of our business, player base or traffic levels, if we discover material inaccuracies in our metrics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metrics we rely on to track our performance do not provide an accurate measurement of our business or otherwise change, our reputation may be harmed and our business, prospects, financial condition and results of operations could be materially and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collect and use data to deliver relevant content and advertisements, and any limitation on the collection and use of this data could cause us to lose revenues.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our players use our games, we may collect both personally identifiable and non-personally identifiable data about the player. Often, we use some of this data to provide a better experience for the player by delivering relevant content and advertisements. Our players may decide not to allow us to collect some or all of this data or may limit our use of this data. Any limitation on our ability to collect data about players and game interactions would likely make it more difficult for us to deliver targeted content and advertisements to our players as well as the overall gaming experience. Interruptions, failures or defects in our data collection, analysis and storage systems, as well as privacy concerns and regulatory restrictions regarding the collection of data, could also limit our ability to aggregate and analyze player data. If that happens, we may not be able to successfully adapt to player preferences to improve and enhance our games, retain existing players and maintain the popularity of our games, which could cause our business, financial condition, or results of operations to suffer.</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Internet-connected devices and operating systems controlled by third parties increasingly contain features that allow device users to disable functionality that allows for the delivery of advertising on their devices, including through Apple’s Identifier for Advertising, or IDFA, or Google’s Advertising ID, or GAID, for Android devices.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IDFA, which simplifies the process for Apple users to opt out of behavioral targeting. If players elect to utilize the opt-out mechanisms in greater numbers, our ability to deliver effective advertisements would suffer, which could adversely affect our revenues from in-game advertising.</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with other forms of leisure activities, and a failure to successfully compete with such activities could have a material adverse effect on our business, financial condition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for leisure time, attention and discretionary spending of our players. Other forms of entertainment, such as offline, traditional online, personal computer and console games, television, movies, sports and the internet, together represent much larger or more well-established markets and may be perceived by our players to offer greater variety, affordability, interactivity and enjoyment. Consumer tastes and preferences for leisure time activities are also subject to sudden or unpredictable change on account of new innovations, developments or product launches. If consumers do not find our games to be compelling or if other existing or new leisure time activities are perceived by our players to offer greater variety, affordability, interactivity and overall enjoyment, our business could be materially and adversely affected.</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recently launched an NFT (non-fungible token) product and marketplace which may expose us to legal, regulatory, and other risks that could adversely affect our business,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launched a blockchain-based NFT product called Reel Owners that enables our players to purchase non-fungible tokens (NFTs) related to our games. Blockchain technology and NFTs are relatively new and emerging technologies. The regulatory, commercial, and legal framework governing blockchain technologies and NFTs is likely to evolve both in the United States and internationally and implicates issues regarding a range of matters, including, but not limited to, intellectual property rights, privacy and cybersecurity, fraud, anti-money laundering, money transmission, sanctions, and currency, commodity, and securities law compliance. It is difficult to predict how the legal and regulatory framework around blockchain technologies and NFTs will develop and how such developments will impact our business and our NFT marketplace. NFT transactions also raise issues regarding compliance with laws of foreign jurisdictions, many of which present complex compliance issues and may conflict with other jurisdictions.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launch of our NFT product and marketplace also subjects us to risks similar to those associated with any new product offering, including, but not limited to, our ability to accurately anticipate market demand and acceptance,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successfully launch the NFT marketplace, creator and buyer acceptance, technical issues with the operation of an NFT marketplace, reputational risk relating to the use of NFTs more broadly, and other legal and regulatory risks.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rate and financial performance in recent periods may not be indicative of future performance, and our revenue growth rates may decline in the future compared to prior periods.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revenue growth in recent periods, with revenue of $2,615.5 million, $2,583.0 million and $2,371.5 million, for the years ended December 31, 2022, 2021 and 2020. As we continue to grow our business, our revenue growth rates may decline compared to prior fiscal years due to a number of reasons, which may include more challenging comparisons to prior periods, a decrease in the growth of our overall market or market saturation, slowing demand for our games, our inability to continue to acquire games or game studios, and our inability to capitalize on growth opportunities. In addition, our growth rates may experience increased volatility due to global societal and economic disruption, such as those related to the COVID-19 pandemic and related government responses thereto.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we do not successfully manage our current and potential future growth.</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grown in recent years and we intend to continue to expand the scope of the games we provide. Our revenues increased to $2,615.5 million in 2022 from $2,583.0 million in 2021 and $2,371.5 million in 2020. Our anticipated future growth, particularly to the extent that we experience rapid growth, will likely place significant demands on our management and operations. Our success in managing our growth will depend, to a significant degree, on the ability of our executive officers and other members of senior management to operate effectively, and on our ability to improve and develop our financial and management information systems, controls and procedures. In addition, we will likely have to successfully adapt our existing systems and introduce new systems, expand, train and manage our employees and improve and expand our marketing capabilities. Further, we have grown our business in part by acquiring and integrating complementary businesses and our continued growth will depend to some degree on our continuing ability to find additional commercially viable strategic acquisitions or expanding our internal development.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properly and prudently manage our operations as and to the extent they continue to grow, or if the quality of our games deteriorates due to mismanagement, our brand name and reputation could be severely harmed, and our business, prospects, financial condition and results of operations could be adversely affected.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might not be able to report our financial results accurately or prevent fraud; in that case, our stockholders could lose confidence in our financial reporting, which could negatively impact the price of our stock.</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Effective internal controls are necessary for us to provide reliable financial reports and prevent fraud.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404 of the Sarbanes-Oxley Act of 2002 requires us to evaluate the report on our internal control over financial reporting beginning with the Annual Report of Form 10-K for the year ended December 31, 2021. Section 404 of the Sarbanes-Oxley Act of 2002 also requires our independent registered public accounting firm to attest to our evaluation beginning with this Annual Report on Form 10-K for the year ended December 31, 2022. We are in the process of preparing and implementing an internal plan of action for compliance with Section 404 and strengthening and testing our system of internal controls to provide the basis for our report. The process of implementing our internal controls and complying with Section 404 is and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in our internal control, the disclosure of that fact, even if quickly remedied, could reduce the market’s confidence in our financial statements and harm our stock price. In addition, a delay in compliance with Section 404 could subject us to a variety of administrative sanctions, including ineligibility for short form resale registration, action by the SEC, the suspension or delisting of our common stock from and the inability of registered broker-dealers to make a market in our common stock, which would further reduce our stock price and could harm our business.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meet our financial obligations and support business growth, and this capital may not be available on acceptable terms or at all.</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our current plans and market conditions, we believe that cash flows generated from our operations, the proceeds from our January 2021 initial public offering, the issuance and sale of our Notes, and borrowing capacity under our Revolving Credit Facility will be sufficient to satisfy our anticipated cash requirements in the ordinary course of business for the foreseeable future. However, we intend to continue to make significant investments to support our business growth and may require additional funds to respond to business challenges, including the need to develop new games and features or enhance our existing games, improve our operating infrastructure or acquire complementary businesses, personnel and technologies. Accordingly, we may need to engage in equity or debt financings in addition to our Revolving Credit Facility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Such losses could adversely affect our business prospects, results of operations, cash flows and financial condition.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tax rates or tax rulings, or the examination of our tax positions, could materially affect our financial condition, effective tax rate, future profitability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take advantage of could be undermined due to changing tax laws, both in the United States and in other applicable jurisdictions, including Israel.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that it is reasonably possible that the total amount of unrecognized tax benefits could increase significantly as a result of the open examination in Israel for the tax years ended 2017 through 2020. Should those tax positions not be fully sustained under examination, an acceleration of material income taxes payable, including interest and penalties, could occur. As a result, cash required for payments of income taxes, interest and penalties could be material in the period in which such determination is made. In addition, if such tax positions are not fully sustained, it could have an impact on our ability to take advantage of certain tax benefits associated with the Preferred Technology Enterprise regime in the future. During the fourth quarter of 2022, the Company received a tax assessment from the Israel Tax Authority for the 2017 tax year relating to the Preferred Technology Enterprise regime. The Company completed its review of the assessment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preparing a response which we expect to file during the first quarter of 2023 that disputes the assessment. We are unable to predict the ultimate outcome of resolution of the dispute, and it is possible that they could have a material effect on our effective tax rate, financial condition, results of operations and cash flows in future periods.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 Organization and Summary of Significant Accounting Policies,</w:t>
      </w:r>
      <w:r>
        <w:rPr>
          <w:rFonts w:ascii="Times New Roman" w:cs="Times New Roman" w:eastAsia="Times New Roman" w:hAnsi="Times New Roman"/>
          <w:sz w:val="18"/>
          <w:szCs w:val="18"/>
          <w:color w:val="auto"/>
        </w:rPr>
        <w:t xml:space="preserve"> the Company has a gross unrecognized tax benefit liability in Israel and gross offsetting tax benefits in the United States, the United Kingdom, and Austria associated with potential transfer pricing adjustments. It is possible that Israel could examine the Company’s historical transfer pricing methodologies and propose an adjustment that would result in additional tax expense. While tax treaties exist between Israel and the United States, United Kingdom, and Austria that reduce the risk of double taxation, in the event of an examination targeting our transfer pricing methodologies, there is a risk that the negotiation between these respective countries’ taxing authorities does not align with the Company’s expectation, therefore resulting in more net tax expense than what is estimated.</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that our reserves are adequate to cover reasonably expected tax risks, there can be no assurance that, in all instances, an issue raised by a tax authority will be resolved at a financial cost that does not exceed our related reserve and such resolution could have a material effect on our effective tax rate, financial condition, results of operations and cash flows in future periods.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2022 was 23.7% compared with 24.5% for 2021. In general, changes in applicable U.S. federal and state and foreign tax laws and regulations, or their interpretation and application, including the possibility of retroactive effect, could affect our tax expense. Taxing authorities in many jurisdictions in which we operate may propose changes to their tax laws and regulations in response to, among other things, evolving global tax landscapes. These potential changes could have a material impact on our effective tax rate, long-term tax planning and financial results.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last several years, the Organization for Economic Cooperation and Development (“OECD”) has been working on a Base Erosion and Profits Shifting Project that would change various aspects of the existing framework under which our tax obligations are determined in many of the countries in which we do business. In October 2021, the OECD/G20 inclusive framework on Base Erosion and Profit Shifting (the Inclusive Framework) published a statement updating and finalizing the key components of a two-pillar plan on global tax reform which has now been agreed upon by the majority of OECD members. Pillar One allows countries to reallocate a portion of residual profits earned by multinational enterprises (“MNEs”), with an annual global turnover exceeding €20 billion and a profit margin over 10%, to other market jurisdictions. Pillar Two requires MNEs with an annual global turnover exceeding €750 million to pay a global minimum tax of 15%. Additional guidance is expected to be published in 2023. We will continue to monitor the implementation of the Inclusive Framework agreement by the countries in which we operate. Similarly, the European commission and several countries have issued proposals that would apply to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jurisdictions have proposed or enacted taxes applicable to digital services, which includes business activities on digital advertising and online marketplaces, and which may apply to our business. We are unable to predict if and how these legislative changes will be enacted into law, and it is possible that they could have a material effect on our corporate tax liability and our global effective tax rate.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2022, pursuant to the Tax Cuts and Jobs Act of 2017, R&amp;D expenses are required to be capitalized and amortized for tax purposes, which has delayed the deductibility of these expenses and increased the amount of cash taxes we paid during the year ended December 31, 2022. We will recover these expenses in subsequent years such that the increased cash outlay is temporary. In the future, among other things, Congress may consider legislation that would defer the capitalization requirement to later years or eliminate the capitalization requirement, possibly with retroactive effect, and/or the IRS may issue guidance on the currently enacted tax law which differs from our interpretation. It is possible that the enactment of new legislation and/or issuance of IRS guidance could have a material effect on our financial condition, results of operations and cash flows in future periods.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tax benefits that are available to us require us to continue to meet various conditions and may be terminated or reduced in the future, which could increase our costs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our Israeli subsidiaries are eligible for certain tax benefits provided to a Preferred Technology Enterprise under the Israeli Law for the Encouragement of Capital Investments, 1959, or the Investment Law,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 reduced corporate tax rate on Israeli preferred technology taxable income, as defined in the Investment Law and its regulations. In order to remain eligible for the tax benefits under the Preferred Technology Enterprise regime, our Israeli subsidiaries must continue to meet certain conditions stipulated in the Investment Law and its regulations, as amended. If our Israeli subsidiaries were to fail to continue to meet such conditions, then our Israeli subsidiaries would not be eligible for such tax benefits and our Israeli taxable income would be subject to regular Israeli corporate tax rates. Additionally, if our Israeli subsidiaries increase their activities outside of Israel through acquisitions, their expanded activities might not be eligible for inclusion in future Israeli tax benefit programs.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on past sales.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One or more U.S. states or countries may seek to impose incremental or new sales taxes, value added taxes or other tax collection obligations on us. While we generally are not responsible for taxes generated on games accessed and operated through third-party platforms, we are responsible for collecting and remitting applicable sales, value added or other similar taxes for revenue generated on games accessed and operated on our own platforms. Historically, we paid taxes on revenue generated from games accessed on our own platforms in U.S. states where we had a sufficient physical presence or “nexus” based on the location of our U.S. offices and servers. However, there is uncertainty as to what constitutes sufficient physical presence or nexus for a U.S. state to levy taxes, fees and surcharges for sales made over the internet. Furthermore, an increasing number of U.S. states have considered or adopted laws that attempt to impose tax collection obligations on out-of-state companies. This is also the case in respect of the European Union, where value added taxes may be imposed on non-European Union companies making digital sales to consumers within the European Union.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that online sellers can be required to collect sales and use tax despite not having a physical presence in the state of the customer. In response to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or otherwise, U.S. states or local governments may adopt, or begin to enforce, laws requiring us to calculate, collect and remit taxes on sales in their jurisdictions. As a result of the above, we are in the process of working with certain jurisdictions to comply with filing requirements associated with our activities that have given rise to sales, use, value added taxes and any other taxes in additional states or jurisdictions in which we historically have not registered to collect and remit taxes. A successful assertion by one or more taxing jurisdictions requiring us to collect taxes where we presently do not do so, or to collect more taxes in jurisdictions in which we currently collect some taxes, could result in substantial liabilities, including taxes on past sales, as well as interest and penalties, and could create significant administrative burdens for us or otherwise harm our business.</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U.S. federal income tax rules under Section 7874 of the Internal Revenue Code apply to us, such rules could result in adverse U.S. federal income tax consequences.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Section 7874 of the U.S. Internal Revenue Code of 1986, as amended, or the Code, will apply if (i) a foreign corporation (or pursuant to a plan or a series of related transactions, two or more foreign corporations in the aggregate) directly or indirectly acquires, within the meaning of Section 7874 of the Code, substantially all of the properties of a U.S. corporation, (ii) the former stockholders of the acquired U.S. corporation hold, by vote or value, at least 60% of the shares of the foreign acquiring corporation after the acquisition by reason of holding shares in the United States acquired corporation and</w:t>
      </w:r>
    </w:p>
    <w:p>
      <w:pPr>
        <w:spacing w:after="0" w:line="3" w:lineRule="exact"/>
        <w:rPr>
          <w:sz w:val="20"/>
          <w:szCs w:val="20"/>
          <w:color w:val="auto"/>
        </w:rPr>
      </w:pPr>
    </w:p>
    <w:p>
      <w:pPr>
        <w:jc w:val="both"/>
        <w:ind w:firstLine="8"/>
        <w:spacing w:after="0" w:line="252" w:lineRule="auto"/>
        <w:tabs>
          <w:tab w:leader="none" w:pos="3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corporation’s “expanded affiliated group” does not have substantial business activities in the foreign corporation’s country of tax residency relative to such expanded affiliated group’s worldwide activities. If Section 7874 of the Code were to apply to such acquired U.S. corporation, then it would be treated as an “expatriated entity” for the purposes of these rules. As a consequence, Section 7874 of the Code would limit the ability of such acquired U.S. corporation and its U.S. affiliates to use U.S. federal income tax attributes (including net operating losses and certain tax credits) to offset U.S. taxable income resulting from certain transactions, as well as result in certain other potentially adverse tax consequences (including the potential increase in the transition tax on overseas earnings imposed as a result of U.S. tax reform in 2017).</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our affiliates have engaged in certain transactions involving transfers of property and shares to foreign corporations prior to our initial public offering in January 2021, or the Pre-IPO Transactions. Depending upon various factual and legal issues concerning the Pre-IPO Transactions and our initial public offering, as well as subsequent sales of shares by our existing stockholders, Section 7874 of the Code may apply to cause us to be an “expatriated entity” for U.S. federal income tax purposes. If we were treated as an expatriated entity, there could be significant adverse tax consequences to us. The rules under Section 7874 of the Code are complex and subject to detailed regulations (the application of which is uncertain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various respects and would be impacted by changes in such U.S. Treasury regulations with possible retroactive effect) and factual uncertainties. Accordingly, there can be no assurance that the IRS will not assert that Section 7874 of the Code applies to us or that such assertion would not be sustained by a court.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utilize, or may not be able to utilize, net operating loss carryforwards to reduce our future tax liability.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net operating loss carryforwards in certain jurisdictions, including Israel, Finland, and the U.S of $121.7 million, $27.7 million, and $10.8 million, respectively. The net operating losses in Israel and the U.S. are carried forward indefinitely. The net operating losses in Finland expire from 2031 through 2032. We believe it is more likely than not that the benefit from certain net operating loss carryforwards will not be realized and as such, we have provided a valuation allowance on $7.4 million of net operating losses.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under the corporate governance rules of Nasdaq and, as a result, qualify for, and may rely on, exemptions from certain corporate governance requirements. If we rely on the exemptions available to a “controlled company” you will not have the same protections afforded to stockholders of companies that are subject to such corporate governance requirements.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controlling stockholder, Playtika Holding UK, which is, in turn, indirectly controlled by Yuzhu Shi and his affiliates, continues to control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20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 have a compensation committee that is composed entirely of independent directors with a written charter addressing the committee’s purpose and responsibilities.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currently rely on the exemptions available to a “controlled company,” we may elect to rely on these exemptions in the future. As a result, our board of directors may not have a majority of independent directors, our compensation committee may not consist entirely of independent directors and/or our directors may not be nominated or selected by independent directors. Accordingly, if we elect to rely on these exemptions in the future, you will not have the same protections afforded to stockholders of companies that are subject to all of the corporate governance requirements of the Nasdaq rules.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exploring strategic alternatives strategic alternatives, but there can be no assurance that we will be successful in identifying or consummating any strategic alternatives, that strategic alternatives will yield additional value for stockholders, or that exploration of strategic alternatives will not adversely impact the Company.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2022, we announced that our Board of Directors had initiated a process to evaluate potential strategic alternatives to maximize value for stockholders. There can be no assurance that the exploration of strategic alternatives will result in the identification or consummation of any transaction or any other particular outcome. Speculation regarding any developments related to the review of strategic alternatives and perceived uncertainties related to the future of the Company could cause our stock price to fluctuate significantly.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exploration of strategic alternatives could result in the diversion of management’s attention from our existing business; failure to achieve financial or operating objectives; incurrence of significant transaction expenses; failure to retain, attract or strengthen our relationships with key personnel, vendors or customers; and exposure to potential litigation in connection with this process and effecting any transaction or strategic alternative. If we are unable to mitigate these or other potential risks related to the uncertainty caused by our exploration of strategic alternatives, it may disrupt our business or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any potential transaction or other strategic alternative, if identified, evaluated and consummated, will provide greater value to our stockholders than that reflected in the current stock price. Further, our Board of Directors may determine to suspend or terminate the exploration of strategic alternatives at any time due to various factors. Any potential transaction or other outcome of this process is also dependent upon a number of factors that may be beyond our control, including among other factors, market conditions, industry trends, regulatory limitations and the interest of third parties in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 and Ownership</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added business, political, regulatory, operational, financial and economic risks as a result of our operations and distribution in a variety of countries, any of which could increase our costs and hinder our growth.</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operations are outside of the United States, including our principal executive offices in Israel and large development centers in Ukraine and Belarus, and we generate a significant portion of our revenues from operations outside of the United States. For each of the years ended December 31, 2022 and 2021, we derived approximately 29.5% and 29.7%, respectively, of our revenues from sales to players outside of the United States. Our operations in foreign jurisdictions may subject us to additional risks customarily associated with such operations, including:</w:t>
      </w:r>
    </w:p>
    <w:p>
      <w:pPr>
        <w:spacing w:after="0" w:line="20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caused by distance, language and cultural differences;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foreign laws, regulations and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enforcement of remedies in foreign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currency exchange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labor laws and disputes;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personnel in foreign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businesses in some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tax and regulatory policies of local governments;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anti-money laundering, anti-bribery and anti-corruption laws, including the U.S. Foreign Corrupt Practices Act, or the FCPA, and other anti-corruption laws that generally prohibit U.S. persons and companies and their agents from offering, promising, authorizing or making improper payments to foreign government officials for the purpose of obtaining or retaining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and costs related to the repatriation of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sanctions regimes regarding dealings with certain persons or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export or import of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tariff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tariffs, quotas, taxes and other market barriers;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intellectual property rights in countries other than the United States.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these laws also contain provisions that require accurate record keeping and further require companies to devise and maintain an adequate system of internal accounting controls. Although we have policies and controls in place that are designed to ensure compliance with these laws, if those controls are ineffective or an employee or intermediary fails to comply with the applicable regulations and policies or if the design of those policies and controls is incomplete or inadequate, we may be subject to criminal and civil sanctions and other penalties. Any such violation could disrupt our business and adversely affect our reputation, results of operations, cash flows and financial condition. In addition, as we operate and sell internationally, we are subject to the FCPA, and other laws that prohibit improper payments or offers of payments to foreign governments and their officials and political parties by the United States and other business entities for the purpose of obtaining or retaining business. While we have attempted to implement safeguards to discourage these practices by our employees, consultants and agents, violations of the FCPA may result in severe criminal or civil sanctions, and we may be subject to other liabilities, which would negatively affect our business, results of operations and financial condition.</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our ability to expand successfully in foreign jurisdictions involves other risks, including difficulties in integrating foreign operations, risks associated with entering jurisdictions in which we may have little experience and the day-to-day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a growing and increasingly geographically diverse company. We may not realize the operating efficiencies, competitive advantages or financial results that we anticipate from our investments in foreign jurisdictions. In addition, our international business operations could be interrupted and negatively affected by terrorist activity, political unrest or other economic or political uncertainties. Moreover, foreign jurisdictions could impose tariffs, quotas, trade barriers and other similar restrictions on our international sales.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while we maintain offices in the United States, most of our senior management and employees are located in our international offices, including our offices in Israel, Belarus, Ukraine and Romania, which subject us to added business, political and economic risks. As of December 31, 2022, we had operations in Australia, Austria, Belarus, Finland, Germany, India, Israel, Poland, Romania, Switzerland, Ukraine, the United Kingdom and the United States. We have in the past and may continue to experience disruption as a result of catastrophic events in the countries in which we operate. For example, we previously maintained a small office in Crimea, but were forced to close and relocate our personnel as a result of Crimea’s annexation by Russia in 2014. For more information on risks related to our operations in Israel, see “—We have offices and other significant operations located in Israel, and, therefore, our results may be adversely affected by political, economic and military instability in Israel.” For more information on risks related to our operations in Belarus, Ukraine and Romania, see “—Our operations may be adversely affected by ongoing developments in Belarus, Ukraine or Romania.”</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offices and other significant operations located in Israel, and, therefore, our results may be adversely affected by political, economic and military instability in Israel.</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maintain offices in the United States, we maintain offices and conduct significant operations in Israel, and most of our senior management is based in Israel. In addition, many of our employees and officers are residents of Israel. Accordingly, political, economic and military conditions in Israel directly affect our business.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any hostilities involving Israel or the interruption or curtailment of trade between Israel and its trading partners could adversely affect our business and results of operations. Since the establishment of the State of Israel, a number of armed conflicts have taken place between Israel and its neighboring countries, as well as terrorist acts committed within Israel by hostile elements. In addition, recent political uprisings and conflicts in various countries in the Middle East, including Syria, are affecting the political stability of those countries. In addition, the tensions between Israel and Iran and certain extremist groups in the region may escalate in the future and turn violent, which could affect the Israeli economy in general and us in particular. Any armed conflicts, terrorist activities or political instability in the region could adversely affect business conditions, could harm our results of operations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an event associated with the security situation in the Middle East, with limited exceptions. Although the Israeli government has in the past covered the reinstatement value of certain damages that were caused by terrorist attacks or acts of war, we cannot assure you that this government coverage will be maintained or, if maintained, will be sufficient to compensate us fully for damages incurred. Any losses or damages incurred by us could cause a significant disruption in our employees’ lives and possibly put their lives at risk, which would have a material adverse effect on our business. Any armed conflicts or political instability in the region would likely negatively affect business conditions generally and could harm our results of operations.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results of operations, financial conditions or the expansion of our business. A campaign of boycotts, divestment and sanctions has been undertaken against Israel, which could also adversely impact our business.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U.S. court against us and our officers and directors, to assert U.S. securities laws claims in Israel or to serve process on our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offices in Israel and many of our employees and officers and directors are residents of Israel. Certain of our assets and the assets of these persons are located in Israel. Additionally, a number of our directors are residents of China. Therefore, a judgment obtained against us, or any of these persons, including a judgment based on the civil liability provisions of the U.S. federal securities laws, may not be collectible in the United States and may not necessarily be enforced by an Israeli or Chinese court. It also may be difficult to affect service of process on these persons in the United States or to assert U.S. securities law claims in original actions instituted in Israel or China, as applicable. Additionally, it may be difficult for an investor, or any other person or entity, to initiate an action with respect to U.S. securities laws in Israel, as applicable. Israeli or Chinese courts may refuse to hear a claim based on an alleged violation of U.S. securities laws reasoning that Israel or China, as applicable, is not the most appropriate forum in which to bring such a claim. In addition, even if an Israeli or Chinese court agrees to hear a claim, it may determine that Israeli or Chinese law and not U.S. law is applicable to the claim. If U.S. law is found to be applicable, the content of applicable U.S. law must be proven as a fact by expert witnesses, which can be a time consuming and costly process. Certain matters of procedure will also be governed by Israeli or Chinese law, as applicable.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enforce covenants not-to-compete under current Israeli and California law, which might result in added competition for our products.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non-competition agreements or provisions with most of our Israeli employees and Israeli executive officers, including Robert Antokol, our Chief Executive Officer and Chairperson of our board of directors. These agreements or provisions are governed by Israeli law and prohibit our employees from competing with us or working for our competitors, generally during, and for up to one year after termination of, their employment with us. However, Israeli courts are reluctant to enforce non-compete undertakings of former employees and tend, if at all, to enforce those provisions for only relatively brief periods of time or in restricted geographical areas. In addition, Israeli courts typically require the presence of additional circumstances, such as a demonstration of an employer’s legitimate interest which was damaged; breach of fiduciary duties, loyalty and acting not in good faith; a payment of a special consideration for employee’s non-compete obligation; material concern for disclosing employer’s trade secrets; or a demonstration that an employee has unique value to the employer specific to that employer’s business, before enforcing a non-competition undertaking against such employee.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post-employment restrictive covenants, barring certain exceptions, are not enforceable in certain U.S. states in which we operate, including California, which may create similar risks of competition. Two of our executive officers, including our President and Chief Financial Officer, are located in California. Although we have non-competition agreements with such officers, they are unlikely to be enforced by California courts or under California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employee severance obligations, which may result in an increase in our expenditures.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Israel’s Severance Pay law, 5723-1963, or the Severance Pay Law, employers are required to make severance payments to dismissed employees and employees leaving employment in certain other circumstances, on the basis of their latest monthly salary for each year of service or a portion thereof. These statutory severance obligations are generally more extensive than under U.S. law, and this obligation may result in significant additional expenses for us, including accrued expenses, if we elect to terminate employees in Israel.</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Israeli subsidiaries have elected to include their Israeli employees under Section 14 of the Severance Pay Law, or Section 14. Section 14 entitles these employees to monthly deposits with third-party insurance companies and pension funds, at a rate of 8.33% of their monthly salary. These payments release the Company from future obligations under the Israeli Severance Pay Law. Accordingly, any liability for severance pay due to these employees, and the deposits under Section 14 are not recorded as an asset in the Company’s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as a result of the obligation of management or key personnel to perform military service.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and consultants in Israel, including members of our senior management, may be obligated to perform one month, and in some cases longer periods, of annual military reserve duty until they reach the age of 40 (or older, for citizens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who hold certain positions in the Israeli armed forces reserves) and, in the event of a military conflict,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adversely affect our business and operations in a material manner.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adversely affected by ongoing developments in Belarus, Ukraine or Romania.</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operations in central and eastern Europe. Since the early 1990s, Russia, Belarus, Ukraine, Romania and other central and eastern European countries have sought to transform from one-party states with a centrally planned economy to democracies with a market economy to various degrees. Despite various reforms, the political systems of many of these countries remain vulnerable and unstable. In addition, the political and economic situation in these countries is negatively affected by the global economic crisis and the economic recession in some parts of the world.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Belarus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political, civil and security situation in Belarus cannot be accurately predicted. Belarus has experienced mass protests throughout the country following the August 2020 election in response to allegations against the government of corruption and election fraud. Despite threats from Belarusian authorities of charges and arrests against demonstrators, protestors have continued to demonstrate. In August 2020, Internet access was restricted to Belarusian citizens, which many citizens and experts have attributed to the government, despite its claim that the disruption was caused by cybersecurity attacks. Belarus shares borders with both Russia and Ukraine, and in February 2022, in connection with escalating tensions involving Russia and Ukraine, Russian military personnel stationed in Belarus were part of an invasion force by Russian forces into Ukraine. Since then, Belarus has been reported to be involved with and provide support to Russian efforts in Ukraine. In response to the support and facilitation by Belarus for the invasion and ongoing conflict, the United States imposed sanctions against multiple individuals and entities in Belarus. In January 2023, Belarus adopted legislation that allows it to replace management of Belarusian entities with foreign shareholders and seize the property of such entities. Other potential retaliatory measures could be taken by the United States and other countries. While we continue to monitor the situation in Belarus closely, any prolonged or expanded unrest, military activities, or sanctions, should they be implemented, could have a material adverse effect on our operations. We have a significant research and development center in Belarus and, accordingly, our business, financial condition, results of operations and prospects are affected by economic, political and legal developments in Belarus.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Ukraine</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political, civil and security situation in Ukraine cannot be accurately predicted since the removal of President Yanukovych from power by the Ukrainian parliament in late February 2014, which was followed by reports of Russian military activity in the Crimean region, the election of Volodymyr Zelensky in May 2019 and military, political and economic conflict with Russia, including the military invasion by Russian forces that began in February 2022. Ukraine’s political activities remain fluid and beyond our control. As a result of the decision of the Russian government to annex the Crimea region of Ukraine, the United States and the European Community have imposed economic sanctions on Russia. Since Fall 2021, Russia had been amassing military personnel near Ukraine’s borders, and in February 2022, Russia launched a military invasion into Ukraine. The United States, EU, UK, Canada and Japan have imposed sanctions against and export controls involving Russia, and other potential retaliatory measures could be taken by the United States and other countries. We cannot predict the outcome of developments in Ukraine or the reaction to such developments by the United States, European, U.N. or other international authorities. While we continue to monitor the situation in Ukraine closely, any prolonged or expanded unrest, military activities, or sanctions, should they be implemented, could have a material adverse effect on our operations. We have a significant research and development center in Ukraine and, accordingly, our business, financial condition, results of operations and prospects are affected by economic, political and legal developments in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Romania</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political environment in Romania is dynamic and may become unstable. In January 2017, the newly elected coalition government led by the Social Democratic Party passed a decree that would have decriminalized certain major corruption cases, which spurred large public protests throughout Romania. Prime Minister Florin Cîtu took over as prime minister in December 2020 and was subsequently dismissed after losing a parliamentary confidence vote on October 5, 2021. Separately, on-going recent military conflict in Ukraine has resulted in a negative impact in the region, affecting Romania’s political and economic outlook. Romania has a significant land border with Ukraine and, as a result, ongoing instability or military conflicts in Ukraine could have a significant and adverse effect on Romania’s economic and financial stability either directly or indirectly as a result of sanctions. We have a significant research and development center and a customer service center in Romania and, accordingly, our business, financial condition, results of operations and prospects are affected by economic, political and legal developments in Romania.</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disruption to our operations in Belarus, Ukraine or Romania may be prolonged and require us to reevaluate our operations in those countries, which may be more expensive and harm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sanctions, export controls and similar measures targeting Russia and Belarus as well as other responses to Russia’s invasion of Ukraine.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Russia’s military conflict in Ukraine, governmental authorities in the United States, the European Union and the United Kingdom, among others, have launched numerous sanctions and export control measures, including:</w:t>
      </w:r>
    </w:p>
    <w:p>
      <w:pPr>
        <w:spacing w:after="0" w:line="189" w:lineRule="exact"/>
        <w:rPr>
          <w:sz w:val="20"/>
          <w:szCs w:val="20"/>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on some of the largest state-owned and private Russian and Belarusian financial institutions (and their subsequent removal from SWIFT);</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and the Belarussian President, other politicians and those with government connections or involved in Russian military activities;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sectoral sanctions in various sectors of the Russian and Belarusian economies and the defense sector, including barring of Russian oil imports and purchases;</w:t>
      </w: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sanctions introducing restrictions on providing loans to, and dealing in securities issued by, persons connected with Russia and restrictions on trade, including in connection with certain security-related goods and technology, iron and steel products, intercepting and monitoring services, maritime goods and technology, jet fuel and fuel additives and UK and EU currency banknotes;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the financial and capital markets in the European Union;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against U.S. persons from making new investments in Russia;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prohibiting most commercial activities of U.S. and EU persons in Crimea and Sevastopol;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export controls and trade sanctions targeting Russia’s imports of technological goods as a whole, including tighter controls on exports and reexports of dual-use items, stricter licensing policy with respect to issuing export licenses, and/or increased use of “end-use” controls to block or impose licensing requirements on exports, as well as higher import tariffs and a prohibition on exporting luxury goods to Russia and Belarus,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sanctions following the attempted annexation by Russia of Ukraine's Donetsk, Luhansk, Kherson and Zaporizhzhia regions, on October 6, 2022.</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conflict in Ukraine continues, there can be no certainty regarding whether the governmental authorities in the United States, the European Union, the United Kingdom or other counties will impose additional sanctions, export controls, trade restrictions or other measures targeting Russia, Belarus or other territories.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conflict in Ukraine. The imposition of such measures could adversely impact our business, including preventing us from performing existing contracts, recognizing revenue, pursuing new business opportunities or receiving payment for products already supplied or services already performed with customers.</w:t>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We review and monitor our contractual relationships with suppliers to establish whether any are target of the applicable sanctions. In the unlikely event that we identify a party with which we have a business relationship that is the target of applicable sanctions, we would immediately commence a legal analysis of what gives rise to the business relationship, including any contract, to estimate the most appropriate course of action to comply with the sanction regulations, together with the impact of a contractual termination according to the applicable law, and then proceed as required by the regulatory authorities. However, given the range of possible outcomes, the full costs, burdens, and limitations on our business may become significant.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even if an entity is not formally subject to sanctions, suppliers, customers and business partners of such entity may decide to reevaluate or cancel projects with such entity for reputational or other reasons. As result of the ongoing conflict in Ukraine, many U.S., European and other multi-national businesses across a variety of industries, including consumer goods and retail, food, energy, banking and finance, media and entertainment, tech, travel and logistics, manufacturing and others, have indefinitely suspended their operations and paused all commercial activities in Russia and Belarus. Depending on the extent and breadth of sanctions, export controls and other measures that may be imposed in connection with the conflict in Ukraine, it is possible that our business, financial condition and results of operations could be materially and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New Israeli Shekels, or NIS. This foreign currency exposure gives rise to market risk associated with strengthening of the NIS versus the U.S. Dollar. Furthermore, we anticipate that a material portion of our expenses will continue to be denominated in NIS.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increased international sales in the future may result in greater foreign currency denominated sales, increasing our foreign currency risk. Moreover, operating expenses incurred outside the United States and denominated in foreign currencies are increasing and are subject to fluctuations due to changes in foreign currency exchange rates. If we are not able to successfully hedge against the risks associated with currency fluctuations, our financial condition and results of operations could be adversely affected. To date, we have entered into hedging transactions with respect to Israeli shekel (“ILS”), Polish Zloty (“PLN”) and Romanian Leu (“RON”) in an effort to reduce our exposure to foreign currency exchange risk. While we may decide to enter into additional hedging transactions in the future, the availability and effectiveness of these hedging transactions may be limited and we may not be able to successfully hedge our exposure, which could adversely affect our financial condition and results of operations.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Yuzhu Shi is a Chinese national and Giant is a Chinese company that indirectly control our controlling stockholder, Playtika Holding UK. For so long as a Chinese individual or company continues to exercise majority voting control over us, changes in U.S. and Chinese laws in the future may make it more difficult for us to operate as a publicly traded company in the United States.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Future developments in U.S. and Chinese laws may restrict our ability or willingness to operate as a publicly traded company in the United States for so long as Yuzhu Shi, who is a Chinese national, and Giant, which is a Chinese company, or other Chinese investors, continue to beneficially own a significant percentage of our outstanding shares of common stock. The relations between China and the United States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passed legislation, such as the Holding Foreign Companies Accountable Act, intended to protect American investments in Chinese companies and has proposed additional legislation intended to enhance the ability of American companies and technology to compete with Chinese technology. Relations between China and the U.S. under President Joseph R. Biden’s administration continue to be complex and uncertain. President Biden issued executive orders barring American investment into certain Chinese companies and initiating national security reviews of software applications linked to foreign adversaries such as China, and the U.S. government has sanctioned numerous Chinese nationals and added Chinese companies to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of Commerce Entity List. The Chinese government has taken similar measures, including passing the Anti-Foreign Sanctions Law and imposing sanctions on American nationals and organizations.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Committee on Foreign Investment in the United States may modify, delay or prevent our future acquisition or investment activities.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so long as Giant retains a material ownership interest in us, we will be deemed a “foreign person” under the regulations relating to the Committee on Foreign Investment in the United States, or CFIUS. As such, acquisitions of or investments in U.S. businesses or foreign businesses with U.S. subsidiaries that we may wish to pursue may be subject to CFIUS review, the scope of which was recently expanded by the Foreign Investment Risk Review Modernization Act of 2018, or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such future regulations impose additional burdens on acquisition and investment activities involving China and Chinese investor-controlled entities, our ability to consummate transactions falling within CFIUS’s jurisdiction that might otherwise be beneficial to us and our stockholders would be hindered.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and Data 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adapt to, and keep pace with, changes in technology, platforms and devices, and evolving industry standards.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upon our ability to attract and retain players, which is largely driven by maintaining and increasing the quality and content of our games. To satisfy players, we need to continue to improve their experience and innovate and introduce games that players find useful and that cause them to return to our suite of games more frequently. This includes continuing to improve our technology to tailor our game offerings to the preferences and requirements of additional geographic and market segments, and adapt to the release of new devices and platforms and to improve the user-friendliness and overall availability of our games, all of which can be costly and generate risk. Our ability to anticipate or respond to changing technology and evolving industry standards and to develop and introduce improvements and enhancements to games on a timely basis is a significant factor affecting our ability to remain competitive, expand and attract new players and retain existing players. We cannot assure you that we will achieve the necessary technological advances or have the financial or other resources needed to introduce new games or improvements and enhancements to games on a timely basis or at all. In addition, our ability to increase the number of players of our games will depend on continued player adoption of such games. Accordingly, our failure to develop or adjust to changes in technology, platforms, devices and operating models and evolving industry standards could adversely impact our business. Even where we are able to successfully adapt to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technology, platforms, devices and operating models and evolving industry standards, we may require substantial expenditures to do so, which could adversely impact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games and other software applications and systems, and the third-party platforms upon which they are made available, could contain undetected errors.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games and other software applications and systems, as well as the third-party platforms upon which they are made available, could contain undetected errors, bugs, flaws, corrupted data, defects and other vulnerabilities that could adversely affect the performance of our games. These defects may only become apparent after we launch a new game or publish an update to an existing game, particularly as we launch new games or updates and rapidly release new features to existing games under tight time constraints. For example, these errors could prevent a player from making in-game purchases of virtual items, which could harm our reputation or results of operations. These errors could also be exploited by cheating programs and other forms of misappropriation, thus harming the overall game-playing experience for our players. This could cause players to reduce their playing time or in-game purchases, discontinue playing our games altogether, or not recommend our games to other players, which could result in further harm to our reputation or results of operations. Such errors could also result in our games being non-compliant with applicable laws or create legal liability for us. Resolving such errors could disrupt our operations, cause us to divert resources from other projects, or harm our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or significant interruption in our network could impact our operations and harm our business.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technology infrastructure is critical to the performance of our games and to player satisfaction. Most of our games run on our private cloud computing systems that are run through two primary data centers in the United States and one primary data center in the European Union. Our servers located in these data centers are vulnerable to damage or interruption from fire, flood, power loss, telecommunications failure, terrorist attacks, acts of war, electronic and physical break-ins, computer viruses, earthquakes and similar events. The occurrence of any of these events could cause our games to become unavailable for a short or long period of time. We have experienced, and may in the future experience, website disruptions, outages and other performance problems due to a variety of factors, including infrastructure changes, human or software errors, malicious attempts to cause platform unavailability, and capacity constraints. If a particular game is unavailable when players attempt to access it or navigation through a game is slower than they expect, players may stop playing the game and may be less likely to return to the game as often, if at all. Similarly, certain games rely on third-party data centers, which may have similar risks over which we would have less control. A failure or significant interruption in our game service would harm our reputation and operations. We expect to continue to make significant investments in our technology infrastructure to maintain and improve all aspects of player experience and game performance. To the extent that our disaster recovery systems are not adequate, or we do not effectively address capacity constraints, upgrade our systems as needed and continually develop our technology and network architecture to accommodate increasing traffic, our business and results of operations may suffer. We do not maintain insurance policies covering losses relating to our systems, other than losses caused by cyber-attacks for which we have limited insurance coverage, and we do not have business interruption insurance, which may increase any potential harms that the business may suffer from systems failure or business interruptions.</w:t>
      </w: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security and integrity of the games we offer, and security breaches or other disruptions could compromise our information or the information of our players and expose us to liability, which would cause our business and reputation to suffer.</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success depends in large part on providing secure games to our players. Our business sometimes involves the collection, storage, processing and transmission of players’ proprietary, confidential and personal information. We also maintain certain other proprietary and confidential information relating to our business and personal information of our personnel. Despite our security measures, our games may be vulnerable to attacks by hackers, players, vendors or employees or breaches due to malfeasance or other disruptions. Any security breach or incident that we have experienced, or may experience in the future, could result in, and has resulted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potential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An increasing number of online services have disclosed security breaches,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we could lose players. Data security breaches and other data security incidents may also result from non-technical means, such as actions by employees or contractors. Any compromise of our security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prevent anomalies and monitor and ensure the quality and integrity of our games and software is periodically reviewed and enhanced, but may not be sufficient to prevent future attacks, breaches or disruptions. Similarly, we assess the adequacy of our security systems, including the security of our games and software to protect against any material loss to any of our players and the integrity of our games to players. However, we cannot provide assurances that our business will not be affected by a security breach or lapse.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information technology has been and in the future may be subject to cyber-attacks, viruses, malicious software, break-ins, theft, computer hacking, employee error or malfeasance or other security breaches. Hackers and data thieves are increasingly sophisticated and operate large-scale and complex automated attacks.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coordinated attacks by activist entities, misplaced or lost data, human errors, or other similar events that could negatively affect our systems and the data stored on those systems, and the data of our business partners. Further, third parties, such as hosted solution providers, that provide services to us could also be a source of security risks in the event of a failure of their own security systems and infrastructure.</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or players. As threats related to cyber-attacks develop and grow, we may also find it necessary to make further investments to protect our data and infrastructure, which may impact our results of operations. Although we have insurance coverage for protecting against cyber-attacks, it may not be sufficient to cover all possible claims stemming from security breaches, cyberattacks and other types of unlawful activity, or any resulting disruptions from such events, and we may suffer losses that could have a material adverse effect on our business. We could also be negatively impacted by existing and proposed laws and regulations in the United States, Israel, the European Union, and other jurisdictions in which we operate, as well as government policies and practices related to cybersecurity, data privacy, data localization and data protection.</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platforms on which we distribute games may encourage, or require, compliance with certain security standards, such as the voluntary cybersecurity framework released by the National Institute of Standards and Technology, or NIST, which consists of controls designed to identify and manage cyber-security risks, and we could be negatively impacted to the extent we are unable to comply with such standards.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and other systems, and any failures in our systems or errors, defects or disruptions in our games could diminish our brand and reputation, subject us to liability and disrupt our business and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and regulations. We could encounter difficulties in developing new systems, maintaining and upgrading current systems and preventing security breaches. Among other things, our systems are susceptible to damage, outages, disruptions or shutdowns due to fire, floods, power loss, break-ins, cyber-attacks, network penetration, denial of service attacks and similar events. Any failures in our computer systems or telecommunications services could affect our ability to operate our games or otherwise conduct business.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Portions of our information technology infrastructure, including those operated by third parties,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games to players and interrupt other processes. If our information systems do not allow us to transmit accurate information, even for a short period of time, to key decision-makers, the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of our games rely on data transferred over the internet, including wireless internet. Access to the internet in a timely fashion is necessary to provide a satisfactory player experience to the players of our games. Third parties, such as telecommunications companies, could prevent access to the internet or limit the speed of our data transmissions, with or without reason, causing an adverse impact on our player experience that may materially and adversely affect our reputation, competitive position, results of operations, cash flows and financial condition. In addition, telecommunications companies may implement certain measures, such as increased cost or restrictions based on the type or amount of data transmitted, that would impact consumers’ ability to access our games, which could in turn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growth and maintenance of wireless communications infrastructure.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on the continued growth and maintenance of wireless communications infrastructure in the United States and internationally. This includes deployment and maintenance of reliable next-generation digital networks with the speed, data capacity and security necessary to provide reliable wireless communications services. Wireless communications infrastructure may be unable to support the demands placed on it if the number of subscribers continues to increase, or if existing or future subscribers increase their bandwidth requirements. Wireless communications have experienced a variety of outages and other delays as a result of infrastructure and equipment failures and could face outages and delays in the future. These outages and delays could reduce the level of wireless communications usage as well as our ability to distribute our games successfully. In addition, changes by a wireless carrier to network infrastructure may interfere with downloads of our games and may cause players to lose functionality in our games that they have already downloaded. This could harm our reputation, business, financial condition and results of operations.</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laws and regulations in the jurisdictions in which we do business could increase the cost of our operations and subject us to possible sanctions, civil lawsuits (including class action or similar representative lawsuits) and other penalties; such laws and regulations are continually evolving. Our or our platform and service providers’ actual or perceived failure to comply with these laws and regulations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We collect, process, store, use and share data, some of which contains personal information, including the personal information of our players. Our business is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scope of data privacy and security regulations worldwide continues to evolve, and we believe that the adoption of increasingly restrictive regulations in this area is likely within the United States and other jurisdictions. For example, in 2018, California enacted the California Consumer Privacy Act (“CCPA”), which became effective on January 1, 2020. The CCPA gives California residents new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effects of the CCPA are significant and have required, and could continue to require, us to modify our data collection or processing practices and policies and to incur substantial costs and expenses in an effort to comply.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or CPRA. The CPRA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Further, there currently are a number of additional proposals related to data privacy or security pending before federal, state, and foreign legislative and regulatory bodies, including in a number of U.S. states considering consumer protection laws similar to the CCPA. This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the European Union has adopted comprehensive data privacy and security regulations. The European Union’s Regulation (EU) 2016/679 of the European Parliament and of the Council of 27 April 2016 on the protection of natural persons with regard to the processing of personal data and on the free movement of such data, and repealing Directive 95/46/EC (General Data Protection Regulation), or the GDPR, which became effective in May 2018, imposes strict requirements on controllers and processors of personal data in the European Economic Area, or EEA, including, for example, higher standards for obtaining consent from individuals to process their personal data, more robust disclosures to individuals and a strengthened individual data rights regime, and shortened timelines for data breach notifications. The GDPR created new compliance obligations applicable to our business and some of our players,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The GDPR increases financial penalties for noncompliance (including possible fines of up to 4% of global annual revenues for the preceding financial year or €20 million (whichever is higher) for the most serious violations). The United Kingdom operates a separate but similar regime to the European Union that allows for fines of up to the greater of £17.5 million or 4% of the total worldwide annual turnover of the preceding financial year. Further, beginning January 1, 2021, we were required to comply with the GDPR and also the United Kingdom GDPR (UK GDPR), which, together with the amended United Kingdom Data Protection Act 2018, retains the GDPR in United Kingdom national law. These changes may lead to additional costs and increase our overall risk exposure.</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the United States and European lawmakers and regulators have expressed concern over electronic marketing and the use of third-party cookies, web beacons and similar technology for online behavioral advertising. In the European Union, marketing is defined broadly to include any promotional material and the rules specifically on e-marketing are currently set out in the ePrivacy Directive which will be replaced by a new ePrivacy Regulation. While the ePrivacy Regulation was originally intended to be adopted on 25 May 2018 (alongside the GDPR), it is still going through the European legislative process. The current draft of the ePrivacy Regulation imposes strict opt-in e-marketing rules with limited exceptions for business to business communications and significantly increases fining powers to the same levels as the GDPR. Regulation of cookies and web beacons may lead to broader restrictions on our online activities, including efforts to understand followers’ internet usage and promote ourselves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Israel has also implemented data protection laws and regulations, including the </w:t>
      </w:r>
      <w:r>
        <w:rPr>
          <w:rFonts w:ascii="Times New Roman" w:cs="Times New Roman" w:eastAsia="Times New Roman" w:hAnsi="Times New Roman"/>
          <w:sz w:val="18"/>
          <w:szCs w:val="18"/>
          <w:i w:val="1"/>
          <w:iCs w:val="1"/>
          <w:color w:val="auto"/>
        </w:rPr>
        <w:t>Israeli Protection of Privacy Law,</w:t>
      </w:r>
      <w:r>
        <w:rPr>
          <w:rFonts w:ascii="Times New Roman" w:cs="Times New Roman" w:eastAsia="Times New Roman" w:hAnsi="Times New Roman"/>
          <w:sz w:val="18"/>
          <w:szCs w:val="18"/>
          <w:color w:val="auto"/>
        </w:rPr>
        <w:t xml:space="preserve"> 5741-1981, or the PPL. The PPL imposes certain obligations on the owners of databases containing personal data, including, e.g.,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Protection of Privacy Regulations (Data Security), 5777-2017, that entered into force in May 2018, impose comprehensive data security requirements on the processing of personal data. The Protection of Privacy Regulations (Transfer of Data to Overseas Databases), 5761-2001, further impose certain conditions on cross-border transfers of personal data from databases in Israel. Moreover, the European Commission is currently reevaluating its adequacy decision with respect to the flow of personal data into Israel. A change in this adequacy decision might affect the conditions in which we will be able to transfer personal data from the European Union (and Norway, Liechtenstein and Iceland) into Israel.</w:t>
      </w:r>
    </w:p>
    <w:p>
      <w:pPr>
        <w:spacing w:after="0" w:line="2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Certain violations of the PPL are considered a criminal and/or a civil offense and could expose the violating entity to criminal, administrative, and financial sanctions, as well as to civil actions. Additionally, the Israel Privacy Protection Authority, or the Privacy Protection Authority, may issue a public statement that an entity violated the PPL, and such a determination could potentially be used against such entity in civil litigation. The Israeli Ministry of Justice has introduced amendments to the PPL designed, among other things, to enhance the Privacy Protection Authority’s investigative and enforcement powers (including powers to impose fines) and to broaden data subject rights.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Regarding transfers to the United States of personal data (as such term is used in the GDPR and applicable EU member state legislation) about our staff, European users, and other third parties, we have relied upon certain standard contractual clauses approved by the EU Commission (the SCCs). However, the SCCs have been subject to legal challenge, and on July 16, 2020, the Court of Justice of the EU, Europe’s highest court, in the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case imposed additional obligations in connection with the use of the SCCs by imposing restrictions on the ability to transfer personal data from the EU and Switzerland to the United States (and other countries), and with the exit of the United Kingdom from the EU, we and other companies face additional restrictions on transfers of personal data from the United Kingdom. EU regulators since have issued additional guidance regarding these additional requirements that we must consider and undertake when using the SCCs. On June 4, 2021, the European Commission adopted new SCCs taking into account the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case and reflecting requirements under the GDPR. The decision foresees an 18-month grace period for companies to adopt the new SCCs, subject to obligations to use the SCCs for new contracts and data processing operations as of September 27, 2021. We are in the process of assessing these developments and their impact on our data transfer mechanisms, including regarding transfers to and storage of data on our servers in the US. The SCCs and other cross-border data transfer mechanisms may face additional legal challenges or be the subject of additional legislative activity and regulatory guidance. We may need to implement different or additional measures to establish or maintain legitimate means for the transfer and receipt of personal data from the European Economic Area, Switzerland and the United Kingdom to the United States (and other countries), and we may, in addition to other impacts, experience additional costs associated with increased compliance burdens, and we face the potential for regulators to apply different standards to the transfer of personal data from the European Economic Area, Switzerland and the United Kingdom to the United States (and other countries), and to block, or require verification of measures taken with respect to, certain data flows from the European Economic Area, Switzerland and the United Kingdom to the United States (and other countries). We also may be required to engage in contract negotiations with third parties that aid in processing data on our behalf, to the extent that any of our service providers or consultants have been relying on invalidated or insufficient transfer mechanisms (including the EU-U.S. Privacy Shield and/or contractual protections) for compliance with evolving interpretations of and guidance for cross-border data transfers pursuant to the GDPR, Swiss privacy laws, and UK privacy laws. In such cases, we may not be able to find alternative service providers which could limit our ability to process personal data from the European Economic Area, Switzerland, or the United Kingdom and increase our costs and/or impact our games or other offerings. We may face a risk of enforcement actions by data protection authorities in the European Economic Area, Switzerland and the United Kingdom relating to personal data transfers. Any such enforcement actions could result in substantial costs and diversion of resources, distract management and technical personnel, and adversely affect our business, financial condition, and results of operations.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complying with regulations, and any applicable rules or guidance from regulatory authorities or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players, and otherwise adversely affect our business, reputation, legal exposure, financial condition and results of operations.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(including class actions), or public statements against us by consumer advocacy groups or others and could result in significant liability, cause our players to lose trust in us, and otherwise materially and adversely affect our reputation and business. Furthermore, the costs of compliance with, and other burdens imposed by, the laws, regulations, and policies that are applicable to us may limit the adoption and use of, and reduce the overall demand for, our games. Additionally, if third parties we work with, such as our service providers or data sharing partners, violate applicable laws, regulations, or agreements, such violations may put our players’ and/or employees’ data at risk, could result in governmental investigations or enforcement actions, fines, litigation, claims (including class action claims) or public statements against us by consumer advocacy groups or others and could result in significant liability, cause our players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While none of our games primarily target children under 18 years of age as their primary audience, the FTC, as well as consumer organizations, may consider that the characteristics of several of our games attract children under 13 years of age. The U.S. Children’s Online Privacy Protection Act, or COPPA, regulates the collection, use and disclosure of personal information from children under 13 years of age. The FTC has taken action against another gaming company relating to children’s’ privacy, and in December 2022, Epic Games, the maker of the popular game Fortnite, agreed to pay a $275 million fine for alleged violations of COPPA as well as take other corrective actions. While none of our games are directed at children under 13 years of age, if COPPA were to apply to us, failure to comply with COPPA may increase our costs, subject us to expensive and distracting government investigations and could result in substantial fines. Although we have taken measures to identify which of our games are subject to COPPA due to their child-appealing nature and to comply with COPPA with respect to those games, if COPPA were to apply to us in a manner other than we have assessed or prepared for, our actual or alleged failure to comply with COPPA may increase our costs, subject us to expensive and distracting lawsuits or government investigations, could result in substantial fines or civil damages and could cause us to temporarily or permanently discontinue certain games or certain features and functions in games.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none of our games primarily target children under 18 years of age as their primary audience, the United Kingdom enacted the “Age Appropriate Design Code” (commonly referred to as the “Children’s Code”), a statutory code of practice pursuant to the United Kingdom Data Protection Act 2018. This code came into force on September 2, 2020, and became enforceable on September 2, 2021. The code requires online services, including our games that are likely to be accessed by children under 18, to put the best interests of the child’s privacy first in the design, development and data-related behavior of the game. The UK government is also separately consulting on legislation in relation to user safety online. The Data Protection Commission in Ireland published its Fundamentals for a Child-Oriented Approach to Data Processing, introducing certain child-specific data protection measures. It is possible that other countries within and outside the European Union will follow with their own codes or guidance documents relating to processing personal information from children or in relation to online harms; currently, other countries are considering or have issued drafts of similar codes, including: France, Denmark, Switzerland. These may result in substantial costs and may necessitate changes to our business practices which may compromise our growth strategy, adversely affect our ability to attract, monetize or retain players, and otherwise adversely affect our business, reputation, legal exposures, financial condition and results of operations.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some cases, we are dependent upon our platform providers to solicit, collect and provide us with information regarding our players that is necessary for compliance with these various types of regulations. Our business, including our ability to operate and expand internationally, could be adversely affected if laws or regulations are adopted, interpreted or implemented in a manner that is inconsistent with our current business practices and that require changes to these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the design of our games, features or our privacy policy. These platform providers may dictate rules, conduct or technical features that do not properly comply with federal, state, local and foreign laws, regulations and regulatory codes and guidelines governing data privacy, data protection and security, including with respect to the collection, storage, use, processing, transmission, sharing and protection of personal information and other consumer data. In addition, these platforms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players, and otherwise adversely affect our business, reputation, legal exposures, financial condition and results of operations. Any failure or perceived failure by us to comply with these platform-dictated rules, conduct or technical features may result in platform-led investigations or enforcement actions, litigation, or public statements against us, which in turn could result in significant liability or temporary or permanent suspension of our business activities with these platforms, cause our players to lose trust in us, and otherwise compromise our growth strategy, adversely affect our ability to attract, monetize or retain players, and otherwise adversely affect our business, reputation, legal exposures, financial condition and results of operations.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Player interaction with our games is subject to our privacy policy and terms of service. If we fail to comply with our posted privacy policy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 in fines or judgments against us, damage our reputation, and negatively impact our financial condition and damage our business.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area of information security and data protection, many jurisdictions have passed laws requiring notification when there is a security breach involving personal data or requiring the adoption of minimum information security standards that are often vaguely defined and difficult to implement. Our security measures and standards may not be sufficient to protect personal information and we cannot guarantee that our security measures will prevent security breaches. A security breach that compromises personal information could harm our reputation and result in a loss of player and/or employee confidence in our games and ultimately in a loss of players, which could adversely affect our business and impact our financial condition. A security breach could also involve loss or unavailability of business-critical data and could require us to spend significant resources to mitigate and repair the breach, which in turn could compromise our growth and adversely affect our ability to attract, monetize or retain players. These risks could also subject us to liability under applicable security breach-related laws and regulations and could result in additional compliance costs, costs related to regulatory inquiries and investigations, and an inability to conduct our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protection of our intellectual property rights and proprietary information. If we are unable to obtain, maintain and enforce intellectual property protection for our games, or if the scope of intellectual property protection is not sufficiently broad, others may be able to develop and commercialize games substantially similar to ours, and our ability to successfully commercialize our games may be compromised.</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success depends, in part, on protecting our owned and licensed intellectual property rights in the United States and in foreign countries, and we strive to protect such intellectual property rights by relying on federal, state and common law rights, as well as contractual restrictions. Our intellectual property includes certain trademarks, copyrights, patents, and trade secrets relating to our games or technology we operate, and proprietary or confidential information that is not subject to formal intellectual property protection. Our success may depend, in part, on our and our licensors’ ability to protect the trademarks, trade dress, names, logos or symbols under which we market our games and to obtain and maintain patent, copyright, trade secret and other intellectual property protection for the technologies, designs, software and innovations used in our games and our business. Though we own certain patents and patent applications relating to our technology and games, it is possible that third parties, including our competitors, may develop similar technology that is not within the scope of our patents, which would limit the competitive advantage of our patented technology, or obtain patents relating to technologies that overlap or compete with our technology. If third parties obtain patent protection with respect to such technologies, they may assert that our technology infringes their patents and seek to charge us a licensing fee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18"/>
          <w:szCs w:val="18"/>
          <w:color w:val="auto"/>
        </w:rPr>
        <w:t>otherwise preclude the use of our technology. We have pursued and continue to pursue the filing of patents and registration of trademarks in the United States and certain foreign jurisdictions, a process that is expensive and time-consuming and may not be successful. We may not be able to obtain protection for our intellectual property rights and even if we are successful in obtaining effective patent, trademark and copyright protection, it is expensive to maintain these rights and the costs of defending our rights could be substantial. Moreover, our failure to develop and properly manage new intellectual property could hurt our market position and business opportunities. Furthermore, changes to intellectual property laws may jeopardize the enforceability and validity of our intellectual property portfolio and harm our ability to obtain intellectual property protection.</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we cannot assure you that we will be able to maintain consumer value in our trademarks, copyrights or other intellectual property rights in our technologies, designs, software and innovations, and the measures we take to protect our intellectual property rights may not provide us with a competitive advantage. If we are unable to adequately protect our intellectual property and other proprietary rights, our competitive position and our business could be harmed. Any of our owned or licensed intellectual property rights could be challenged, invalidated, circumvented, infringed, misappropriated or violated, our trade secrets and other confidential information could be disclosed in an unauthorized manner to third parties, or our intellectual property rights may not be sufficient to permit us to take advantage of current market trends, which could result in competitive harm. For example, in December 2016, a trademark infringement lawsuit was filed in Canadian court by Enigmatus s.r.o. against Playtika Ltd. and CIE regarding our use of the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trademarks. Additionally, in October 2020, a patent infringement claim, </w:t>
      </w:r>
      <w:r>
        <w:rPr>
          <w:rFonts w:ascii="Times New Roman" w:cs="Times New Roman" w:eastAsia="Times New Roman" w:hAnsi="Times New Roman"/>
          <w:sz w:val="18"/>
          <w:szCs w:val="18"/>
          <w:i w:val="1"/>
          <w:iCs w:val="1"/>
          <w:color w:val="auto"/>
        </w:rPr>
        <w:t>NEXRF Corp. v. Playtika Ltd., Playtika Holding Corp. and Caesars Interactive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Entertainment LLC</w:t>
      </w:r>
      <w:r>
        <w:rPr>
          <w:rFonts w:ascii="Times New Roman" w:cs="Times New Roman" w:eastAsia="Times New Roman" w:hAnsi="Times New Roman"/>
          <w:sz w:val="18"/>
          <w:szCs w:val="18"/>
          <w:color w:val="auto"/>
        </w:rPr>
        <w:t>, was filed against Playtika Holding Corp., Playtika Ltd., our subsidiary, and CIE in U.S. District Court, District of Nevada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infringement of certain patents related to plaintiff’s games.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 secrets and proprietary knowledge to protect our unpatented know-how, technology and other proprietary information and to maintain our competitive position. We enter into confidentiality agreements with our employees and independent contractors regarding our trade secrets and proprietary information in order to limit access to, and disclosure and use of, our proprietary information, but we cannot guarantee that we have entered into such agreements with each party that may have or have had access to our trade secrets or proprietary information. Further,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which could harm our competitive position, business, financial condition, results of operations, and prospects.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intellectual property rights. Monitoring unauthorized use of our intellectual property is difficult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we may make claims of infringement against third parties, or make claims that third-party intellectual property rights are invalid or unenforceable. These claims could:</w:t>
      </w:r>
    </w:p>
    <w:p>
      <w:pPr>
        <w:spacing w:after="0" w:line="18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greater costs and expenses in the protection of our intellectual property;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negatively impact our intellectual property rights, for example, by causing one or more of our intellectual property rights to be ruled or rendered unenforceable or invalid; or</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attention and our resources.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The outcome in any such lawsuits are unpredictable.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could be compromised by disclosure during this type of litigation. Any of the foregoing could harm our competitive position, business, financial condition, results of operations and prospects.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renew our existing brand and content licenses on favorable terms or at all and to obtain additional licenses would impair our ability to introduce new games, improvements or enhancements or to continue to offer our current games based on third-party content and make their brands and content available.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license certain intellectual property rights from third parties, and in the future we may enter into additional agreements that provide us with licenses to valuable intellectual property rights or technology. In particular, we license intellectual property rights related to our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World Series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Poker </w:t>
      </w:r>
      <w:r>
        <w:rPr>
          <w:rFonts w:ascii="Times New Roman" w:cs="Times New Roman" w:eastAsia="Times New Roman" w:hAnsi="Times New Roman"/>
          <w:sz w:val="18"/>
          <w:szCs w:val="18"/>
          <w:color w:val="auto"/>
        </w:rPr>
        <w:t>games from CIE. Combined revenues derived from these games accounted for 14.1% and 14.2% of our revenues in each of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2022 and 2021, respectively. Even if games based on licensed content or brands remain popular, any of our licensors could decide not to renew our existing licenses or not to license additional intellectual property rights to us and instead license to our competitors or develop and publish its own games or other applications, competing with us in the marketplace. Many of these licensors already develop games for other platforms and may have significant experience and development resources available to them should they decide to compete with us rather than license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CIE has granted us an exclusive, worldwide and royalty-bearing license to certain intellectual property associated with </w:t>
      </w:r>
      <w:r>
        <w:rPr>
          <w:rFonts w:ascii="Times New Roman" w:cs="Times New Roman" w:eastAsia="Times New Roman" w:hAnsi="Times New Roman"/>
          <w:sz w:val="18"/>
          <w:szCs w:val="18"/>
          <w:i w:val="1"/>
          <w:iCs w:val="1"/>
          <w:color w:val="auto"/>
        </w:rPr>
        <w:t>World Series of Poker</w:t>
      </w:r>
      <w:r>
        <w:rPr>
          <w:rFonts w:ascii="Times New Roman" w:cs="Times New Roman" w:eastAsia="Times New Roman" w:hAnsi="Times New Roman"/>
          <w:sz w:val="18"/>
          <w:szCs w:val="18"/>
          <w:color w:val="auto"/>
        </w:rPr>
        <w:t xml:space="preserve"> through September 23, 2031, and an exclusive, worldwide and royalty-bearing sublicense to certain trademarks and domain names associated with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through December 31, 2026. The trademarks and domain names associated with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were licensed to CIE from Caesars Entertainment Operating Company, Inc., or CEOC, and certain of its affiliates. These licenses permit the development, design, manufacture, offering for sale, advertising, promotion, distribution, sale, and use of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World Series of Poker</w:t>
      </w:r>
      <w:r>
        <w:rPr>
          <w:rFonts w:ascii="Times New Roman" w:cs="Times New Roman" w:eastAsia="Times New Roman" w:hAnsi="Times New Roman"/>
          <w:sz w:val="18"/>
          <w:szCs w:val="18"/>
          <w:color w:val="auto"/>
        </w:rPr>
        <w:t xml:space="preserve"> games for social gaming. The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license includes non-competition provisions that prevent us from entering into marketing arrangements with other casino companies. Increased competition for licenses may lead to larger guarantees, advances and royalties that we must pay to our licensors when the terms of such licenses expire, which could significantly increase our cost of revenue and cash usage. We may be unable to renew these licenses or to renew them on terms favorable to us, and we may be unable to secure alternatives in a timely manner. Failure to maintain or renew our existing licenses or to obtain additional licenses would impair our ability to introduce new games or to continue to offer our current games, which would materially harm our business, results of operations and financial condition. If we breach our obligations under existing or future licenses, we may be required to pay damages and our licensors might have the right to terminate the license or change an exclusive license to a non-exclusive license. Termination by a licensor would cause us to lose valuable rights and could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are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identify additional third-party intellectual property rights we may need to license in order to engage in our business, including to develop or commercialize new games.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our net sales. Moreover, such licenses may be non-exclusive, which could give our competitors access to the same intellectual property rights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materially and adversely affected.</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are successful in gaining new licenses or extending existing licenses, we may fail to anticipate the entertainment preferences of our players when making choices about which brands or other content to license. If the entertainment preferences of players shift to content or brands owned or developed by companies with which we do not have relationships, we may be unable to establish and maintain successful relationships with these developers and owners, which would materially harm our business, results of operations and financial condition. In addition, some rights are licensed from licensors that have or may develop financial difficulties and may enter into bankruptcy protection under U.S. federal law or the laws of other countries. In particular, CEOC operates in an industry that is vulnerable to changing economic conditions. For example, in 2015, CEOC filed for bankruptcy. If CEOC were to file for bankruptcy again or if any of our licensors files for bankruptcy, our licenses might be impaired or voided, which could materially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connection with certain of our games, which may pose particular risks to our proprietary software, games and services in a manner that could have a negative impact on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use open source software in connection with our technology and games. The original developers of the open source code provide no warranties on such code and open source software may have unknown bugs, malfunctions and other security vulnerabilities which could impact the performance and information security of our technology. Some open source software licenses require those who distribute open source software as part of their proprietary software to publicly disclose all or part of the source code to such software and/or make available any derivative works of the open source code on unfavorable terms or at no cost. From time to time, we may face claims from the copyright holders of open source software alleging copyright infringement and breach of contract for failure to meet the open source license terms, such as the failure to publicly disclose our proprietary code that is a derivative work of the open source software. Additionally, the copyright holders of open source software could demand release of the source code of any of our proprietary code that is a derivative work of the open source software, or otherwise seek to enforce, have us specifically perform, or recover damages for the alleged infringement or breach of, the terms of the applicable open source license. These claims could also result in litigation, require us to purchase a costly license or require us to devote additional research and development resources to change our games. The terms of various open source licenses have been interpreted by courts to a very limited extent, and there is a risk that such licenses could be construed in a manner that imposes unanticipated conditions, obligations or restrictions on our use of the open source software. We monitor our use of open source software and try to use open source software in a manner that complies with the terms of the open source licenses while at the same time not requiring the disclosure of the source code of our proprietary software. Our failure to comply with the terms of the open source licenses could require us to replace certain code used in our games, pay a royalty or license fee to use some open source code, make the source code of our games publicly available, pay damages for copyright infringement or breach of contract of open source licenses, or temporarily or permanently discontinue certain games. The above risks could have a material adverse effect on our competitive position, business, reputation, legal exposures, financial condition, results of operations, and prospects.</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rights of others may prevent us from developing new games and services or entering new markets or may expose us to liability or costly litigation.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continually adapt our games to incorporate new technologies, as well as intellectual property related to game mechanics and procedures, and to expand into markets that may be created by these new developments. If technologies are protected by the intellectual property rights of others, including our competitors, we may be prevented from introducing games based on these technologies or expanding into markets created by these technologies.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cannot assure you that our business activities and games will not infringe upon the proprietary rights of others, or that other parties will not assert infringement claims against us. We have in the past and may in the future be subject to litigation alleging that we have infringed the trademarks, copyrights, patents and other intellectual property rights of third parties, including our competitors, non-practicing entities and former employers of our personnel. For example, in December 2016, a trademark infringement lawsuit was filed in Canadian court by Enigmatus s.r.o. against Playtika Ltd. and CIE regarding our use of the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trademarks. </w:t>
      </w:r>
      <w:r>
        <w:rPr>
          <w:rFonts w:ascii="Times New Roman" w:cs="Times New Roman" w:eastAsia="Times New Roman" w:hAnsi="Times New Roman"/>
          <w:sz w:val="18"/>
          <w:szCs w:val="18"/>
          <w:color w:val="231F20"/>
        </w:rPr>
        <w:t>In addition, on October 26, 2020, a patent infringement lawsuit was filed in the U.S. District Court, District of Nevada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against Playtika Holding Corp., Playtika Ltd. and CIE regarding our use of certain patents related to certain of the defendant’s games. </w:t>
      </w:r>
      <w:r>
        <w:rPr>
          <w:rFonts w:ascii="Times New Roman" w:cs="Times New Roman" w:eastAsia="Times New Roman" w:hAnsi="Times New Roman"/>
          <w:sz w:val="18"/>
          <w:szCs w:val="18"/>
          <w:color w:val="000000"/>
        </w:rPr>
        <w:t>A successful claim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infringement by a third party against us, our games or one of our licensees in connection with the use of our technologies, game mechanics or procedures, or an unsuccessful claim of infringement made by us against a third party or its products or games, could adversely affect our business or cause us financial harm. Any such claim and any resulting litigation, should it occur, could:</w:t>
      </w:r>
    </w:p>
    <w:p>
      <w:pPr>
        <w:spacing w:after="0" w:line="21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 consuming to defend or require us to pay significant amounts in damages;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invalidation of our proprietary rights or render our proprietary rights unenforceable;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licensing or using games that incorporate the applicable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games or limit our ability to bring new games to the market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costly or burdensome royalty, licensing or settlement agreements in order to obtain the right to use a product or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the commercial viability of the games that are the subject of the claim during the pendency of such claim;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stop selling the infringing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technologies or games are found to infringe, misappropriate or otherwise violate a third party’s intellectual property rights, we could be required to obtain a license from such third party to continue commercializing or using such technology or game.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also be forced, including by court order, to cease the commercialization or use of the violating technology or game. Accordingly, we may be forced to design around such violated intellectual property, which may be expensive, time-consuming or infeasible.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similarly harm our business. If we are required to make substantial payments or undertake any of the other actions noted above as a result of any intellectual property infringement, misappropriation or violation claims against us, such payments, costs or actions could have a material adverse effect on our competitive position,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required to protect our proprietary technology and content in an increasing number of jurisdictions, a process that is expensive and may not be successful, or which we may not pursue in every location. Filing, prosecuting, maintaining, defending, and enforcing our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protection to develop their own games and, further, may export otherwise violating games to territories where we have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efforts to protect our intellectual property rights in such jurisdictions may be inadequate. In addition, changes in the law and legal decisions by courts in the United States and foreign jurisdictions may affect our ability to obtain adequate protection for our games. Any of the foregoing could harm our competitive position, business, financial condition, results of operations and prospects.</w:t>
      </w:r>
    </w:p>
    <w:p>
      <w:pPr>
        <w:spacing w:after="0" w:line="2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harm our competitive position,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was volatile during our first two years of trading, with a low of $7.81 and high of $36.06. The market price of our common stock may continue to be highly volatile and may fluctuate or decline substantially as a result of a variety of factors, some of which are beyond our control or are related in complex ways, including:</w:t>
      </w:r>
    </w:p>
    <w:p>
      <w:pPr>
        <w:spacing w:after="0" w:line="20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estimates;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our revenues, which could be due in part to the way in which we recognize revenues;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 or lock-up waivers;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and entertainment companies generally, or those in the games industry in particular;</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including changes in our board of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errors or other problems associated with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regulation of our market;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including litigation by current or former employees alleging wrongful termination, sexual harassment, whistleblower or other claims;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games,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patents issued to us or our competitors and related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and transactions involving our stockholders, including Playtika Holding UK;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the past, stockholders have instituted securities class action litigation following periods of market volatility. On November 23, 2021, the Company, its directors and certain of its officers were named in a putative class action lawsuit filed in the United States District Court for the Eastern District of New York (Bar-Asher v. Playtika Holding Corp. et al.). The complaint is allegedly brought on behalf of a class of purchasers of the Company’s securities between January 15, 2021 and November 2, 2021, and alleges violations of federal securities laws arising out of alleged misstatements or omissions by the defendants during the alleged class period. On March 10, 2022, the court appointed LBMotion Ltd as lead plaintiff, and the plaintiff filed an amended complaint on May 6, 2022. The amended complaint alleges violations of Section 11 and 15 of the Securities Act of 1933 and seeks, among other things, damages and attorneys’ fees and costs on behalf of the putative class. See “Business—Legal Proceedings.” Any securities class action litigation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stock price and trading volume may be heavily influenced by the way analysts and investors interpret our financial information and other disclosures. If securities or industry analysts do not publish research or reports about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delay publishing reports about our business, or publish negative reports about our business, regardless of accuracy, our common stock price and trading volume could decline.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common stock.</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common stock.</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including in connection with potential future offerings.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24, 2022, we and our largest shareholder, Playtika Holding UK, announced that Playtika Holding UK had decided to explore options for a potential sale of a portion of the shares of our common stock held by Playtika Holding UK, which may include by means of private placements, public offerings or other transactions. The determination by Playtika Holding UK to conduct any such potential transactions, and the timing thereof, are uncertain and may depend on, among various factors, the price and terms of any such potential transactions, general market and economic conditions and the outcome of any negotiations among the applicable parties. There can be no assurance that the aforementioned explorations of potential transactions will lead to any transactions being agreed or consummated by Playtika Holding UK, and it is possible that the consummation of any such possible transactions could negatively affect the price of our common stock.</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2022, Playtika Holding UK announced on Schedule 13D that Playtika Holding UK had entered into a Stock Purchase Agreement (the “Playtika Holding UK – Joffre SPA”), dated as of June 27, 2022, with Joffre Palace Holdings Limited (“Joffre”), pursuant to which, among other things, Joffre agreed to acquire 106,102,467 shares (the “Purchased Shares”) of the common stock of the Company from Playtika Holding UK, subject to certain terms and conditions. On January 3, 2023, Playtika Holding UK announced on Schedule 13D that on January 1, 2023, Playtika Holding UK notified Joffre that it was terminating the Playtika Holding UK – Joffre SPA. Playtika Holding UK may elect to enter into similar transactions in the future, which could similarly potentially negatively affect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216" w:lineRule="exact"/>
        <w:rPr>
          <w:sz w:val="20"/>
          <w:szCs w:val="20"/>
          <w:color w:val="auto"/>
        </w:rPr>
      </w:pPr>
    </w:p>
    <w:p>
      <w:pPr>
        <w:jc w:val="both"/>
        <w:ind w:left="660" w:hanging="328"/>
        <w:spacing w:after="0" w:line="25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on which Playtika Holding UK and its affiliates cease to beneficially own, in the aggregate, more than 50% in voting power of our stock entitled to vote generally in the election of directors (a “Triggering Event”), our board of directors will be divided into three classes, Class I, Class II and Class III, with each class serving staggered three-year terms, which may delay the ability of stockholders to change the membership of a majority of our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Triggering Event, our stockholders may not act by written consent, which will force stockholder action to be taken at an annual or special meeting of our stockholders;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the board of directors, which may delay the ability of our stockholders to force consideration of a proposal or to take action, including the removal of directors;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our bylaws without obtaining stockholder approval;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amended and restated certificate of incorporation regarding the election and removal of directors;</w:t>
      </w: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previously declared or paid cash dividends on our capital stock, we currently intend to retain all of our future earnings, if any, to finance the growth and development of our business. Any determination to pay dividends in the future will be at the discretion of our board of directors and may be restricted by our Credit Agreement or any future debt or preferred securities or future debt agreements we may enter into. As a result, capital appreciation, if any, of our common stock will be your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Becoming a public company increases our compliance costs significantly and requires the expansion and enhancement of a variety of financial and management control systems and infrastructure and the hiring of significant additional qualified personnel.</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January 2021, we were not subject to the reporting requirements of the Exchange Act, or the other rules and regulations of the SEC, or any securities exchange relating to public companies. We have been working with our legal, independent accounting and financial advisors to identify those areas in which changes should be made to our financial and management control systems to manage our growth and our obligations as a public company. These areas include financial planning and analysis, tax, corporate governance, accounting policies and procedures, internal controls, internal audit, disclosure controls and procedures and financial reporting and accounting systems. We have made, and will continue to make, significant changes in these and other areas. However, the expenses that will be required in order to adequately operate as a public company could be material, and have not been reflected in our historical financials prior to January 2021. Compliance with the various reporting and other requirements applicable to public companies will also require considerable time and attention of management and will also require us to successfully hire and integrate a significant number of additional qualified personnel into our existing finance, legal, human resources and operations departments.</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(or, if the Court of Chancery does not have jurisdiction, another State court in Delaware or the U.S. District Court for the District of Delaware) will be the sole and exclusive forum for substantially all disputes between us and our stockholders, which could limit our stockholders’ abilities to obtain a favorable judicial forum for disputes with us or our directors, officers or employees.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of 1933, as amended, or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facilities in approximately 20 locations throughout the world, including locations in Israel, the United States, Australia, Austria, Belarus, Finland, Germany, India, Poland, Romania, Switzerland, Ukraine, and the United Kingdom. We believe our existing facilities are sufficient for our current needs. We may add new facilities and expand our existing facilities as we add employees and expand into new locations. We believe suitable additional space will be available as needed to accommodate our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various claims, complaints and legal actions in the normal course of business. In addition, we may receive notifications alleging infringement of patent or other intellectual property rights.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2016, a copywriter lawsuit was filed against Wooga GmbH (a subsidiary of the Company) in the regional court of Berlin, Germany. The Plaintiff is suing for additional remuneration to his contributions for a storyline provided for one of Wooga's games and alleged reuse of parts of that storyline in one of Wooga’s other games. In its partial ruling delivered on August 18, 2020, the court dismissed the latter claim, but ordered Wooga to provide to the plaintiff revenue numbers of the game in which plaintiff’s contributions are used. Wooga complied with the court’s order. The plaintiff further pursues additional remuneration claims, including filing a statement with the court on June 13, 2022 in which plaintiff is seeking Euro 8.5 million plus interest. A hearing in court was held on June 21, 2022. The parties filed their latest statements on September 26, 2022 and now await further instructions from the court. As of December 31, 2022, the Company has recorded in its financial statements a reserve based upon its best estimate outcome. It is possible that any final amounts payable in connection with this lawsuit could exceed the Company’s currently reserved best estimate. The Company has defended this case vigorously and will continue to do so.</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2013, the Company’s subsidiary, Playtika, Ltd., sent an initial demand letter to Enigmatus s.r.o., a game developer in the Czech Republic, which owns various U.S. trademark registrations that resemble the Company’s Sloto-formative trademark names, demanding that it cease use of the trademark Slotopoly. In response, Enigmatus s.r.o. asserted that it was the owner of the Sloto-formative trademarks and denied that its game title infringed the Company’s trademarks. Enigmatus s.r.o. applied to register one of the Company’s trademarks in the United Kingdom and European Union, and the Company successfully opposed its applications. In December 2016, Enigmatus s.r.o., filed a trademark infringement lawsuit, Enigmatus, s.r.o. v. Playtika LTD and Caesars Interactive Entertainment, Inc., against Playtika, Ltd. and Caesars Interactive Entertainment LLC in the Federal Court of Canada asserting that the Company’s use of the Slotomania trademarks violates its proprietary and trademark rights. The plaintiff sought injunctive relief and monetary damages. Pleadings have been exchanged and the lawsuit is in the discovery stage. A hearing date for summary trial has been scheduled for June 27-29, 2023. The Company has defended this case vigorously and will continue to do so. As the case is in preliminary stages, the Company cannot estimate what impact, if any, the litigation may have on its results of operations, financial condition or cash flows.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23, 2021, the Company and its directors and certain of its officers were named in a putative class action lawsuit filed in the United States District Court for the Eastern District of New York (Bar-Asher v. Playtika Holding Corp. et al.). The complaint was brought on behalf of an alleged class of purchasers of the Company’s securities between January 15, 2021 and November 2, 2021, and alleged violations of federal securities laws arising out of alleged misstatements or omissions by the defendants during the alleged class period. On March 10, 2022, the court appointed LBMotion Ltd as lead plaintiff, and the plaintiff filed an amended complaint on May 6, 2022. The amended complaint alleges violations of Section 11 and 15 of the Securities Act of 1933 and seeks, among other things, damages and attorneys’ fees and costs on behalf of the putative class. The amended complaint also added the companies that served as underwriters for the Company’s IPO as defendants in the lawsuit. On September 15, 2022, in accordance with local rules of the Court, the Company and other defendants in the case filed a letter notifying the Court of defendants’ service upon plaintiffs of, among other things, a notice of motion to dismiss plaintiffs’ amended complaint and memorandum of law in support of the defendants’ motion to dismiss plaintiffs’ amended complaint, and on November 30, 2022, the Company filed with the Court the motion to dismiss. As the case is in preliminary stages, the Company cannot estimate what impact, if any, the litigation may have on its results of operations, financial condition or cash flows. The Company has defended this case vigorously and will continue to do so.</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17, 2022, Guy David Ben Yosef filed a motion for approval of a class action lawsuit in district court in Tel Aviv-Jaffa Israel against Playtika Group Israel Ltd. (“PGI”), on behalf of all of PGI’s customers who made game token purchases in Israel as part of games marketed by PGI during the seven years preceding the filing of the motion and for all subsequent customers of such games who purchase tokens until the resolution of the claim. The motion alleges that certain of the Company’s slot, poker and solitaire-themed games, including Slotomania, Caesars Slots, Solitaire Grand Harvest, House of Fun and Poker Heat, constitute illegal gambling and are prohibited under Israeli law and are misleading under Israeli consumer protection laws and alleges unjust enrichment. The motion asserts damages of NIS 50 million. In January 2023, PGI filed its response to the plantiff’s motion, and a pre-trial hearing is set for March 19, 2023. As the case is in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stages, the Company cannot estimate what impact, if any, the litigation may have on its results of operations, financial condition or cash flows. The Company will defend this case vigorously.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received a number of demand letters pursuant to Section 220 of the Delaware General Corporation Law (“DGCL”), seeking disclosure of certain of the Company’s books and records. The Company has responded to those demands, stating its belief that the demand letters fail to fully comply with the requirements of Section 220 of the DGCL. However, in the interest of resolution and while preserving all rights, the Company has engaged in negotiations with certain of the shareholders and has produced materials in relation to the demands.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received seven demands for arbitration in late 2022 and early 2023 alleging that our games constitute illegal gambling under applicable state law. As the arbitrations are in preliminary stages, the Company cannot estimate what impact, if any, the litigation may have on its results of operations, financial condition or cash flows. The Company will defend this case vigorously.</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2" w:lineRule="exact"/>
        <w:rPr>
          <w:sz w:val="20"/>
          <w:szCs w:val="20"/>
          <w:color w:val="auto"/>
        </w:rPr>
      </w:pPr>
    </w:p>
    <w:p>
      <w:pPr>
        <w:ind w:left="900" w:right="2740" w:hanging="1295"/>
        <w:spacing w:after="0" w:line="269"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ticker symbol PLTK.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22, 2023, there were approximately 11 stockholders of record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anticipate paying cash dividends on our shares of common stock on a go-forward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of its own equity securities by the Company during the quarter ended December 31, 2022,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Maximum number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4"/>
                <w:szCs w:val="14"/>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15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 may</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poart of publicly</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w:t>
            </w:r>
          </w:p>
        </w:tc>
        <w:tc>
          <w:tcPr>
            <w:tcW w:w="0" w:type="dxa"/>
            <w:vAlign w:val="bottom"/>
          </w:tcPr>
          <w:p>
            <w:pPr>
              <w:spacing w:after="0"/>
              <w:rPr>
                <w:sz w:val="1"/>
                <w:szCs w:val="1"/>
                <w:color w:val="auto"/>
              </w:rPr>
            </w:pPr>
          </w:p>
        </w:tc>
      </w:tr>
      <w:tr>
        <w:trPr>
          <w:trHeight w:val="162"/>
        </w:trPr>
        <w:tc>
          <w:tcPr>
            <w:tcW w:w="5140" w:type="dxa"/>
            <w:vAlign w:val="bottom"/>
            <w:vMerge w:val="restart"/>
          </w:tcPr>
          <w:p>
            <w:pPr>
              <w:ind w:left="23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Average price paid</w:t>
            </w:r>
          </w:p>
        </w:tc>
        <w:tc>
          <w:tcPr>
            <w:tcW w:w="15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5140" w:type="dxa"/>
            <w:vAlign w:val="bottom"/>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0" w:type="dxa"/>
            <w:vAlign w:val="bottom"/>
          </w:tcPr>
          <w:p>
            <w:pPr>
              <w:spacing w:after="0"/>
              <w:rPr>
                <w:sz w:val="1"/>
                <w:szCs w:val="1"/>
                <w:color w:val="auto"/>
              </w:rPr>
            </w:pPr>
          </w:p>
        </w:tc>
      </w:tr>
      <w:tr>
        <w:trPr>
          <w:trHeight w:val="225"/>
        </w:trPr>
        <w:tc>
          <w:tcPr>
            <w:tcW w:w="514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October 1 through October 31, 2022 </w:t>
            </w:r>
            <w:r>
              <w:rPr>
                <w:rFonts w:ascii="Times New Roman" w:cs="Times New Roman" w:eastAsia="Times New Roman" w:hAnsi="Times New Roman"/>
                <w:sz w:val="23"/>
                <w:szCs w:val="23"/>
                <w:color w:val="auto"/>
                <w:vertAlign w:val="superscript"/>
              </w:rPr>
              <w:t>(1)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51,813,472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51,813,472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51,813,472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51,813,472</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22"/>
                <w:szCs w:val="22"/>
                <w:color w:val="auto"/>
              </w:rPr>
              <w:t>__________</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3"/>
        </w:trPr>
        <w:tc>
          <w:tcPr>
            <w:tcW w:w="51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28" w:lineRule="auto"/>
        <w:tabs>
          <w:tab w:leader="none" w:pos="351"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August 29, 2022, the Company announced a tender offer for the purchase of up to 51,813,472 shares of its issued and outstanding common stock, par value $0.01 per share (each, a “Share” and collectively, “Shares”) or such lesser number of Shares as are properly tendered and not properly withdrawn, at a price of $11.58 per Share (the "Tender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3" w:name="page64"/>
    <w:bookmarkEnd w:id="63"/>
    <w:p>
      <w:pPr>
        <w:ind w:left="660"/>
        <w:spacing w:after="0" w:line="282" w:lineRule="auto"/>
        <w:rPr>
          <w:sz w:val="20"/>
          <w:szCs w:val="20"/>
          <w:color w:val="auto"/>
        </w:rPr>
      </w:pPr>
      <w:r>
        <w:rPr>
          <w:rFonts w:ascii="Times New Roman" w:cs="Times New Roman" w:eastAsia="Times New Roman" w:hAnsi="Times New Roman"/>
          <w:sz w:val="18"/>
          <w:szCs w:val="18"/>
          <w:color w:val="auto"/>
        </w:rPr>
        <w:t>Offer"). On October 10, 2022, the Company announced that it accepted for purchase 51,813,472 Shares for an aggregate cost of $600 million, excluding fees and expense related to the Tender Offer.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of our common stock with the cumulative total return of the S&amp;P 500 Index and the NASDAQ Composite Index for the period between January 14, 2021 and December 31, 2022. The graph assumes that $100 was invested in our common stock at the close of market on January 14, 2021 and that any dividends were reinvested. 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760720" cy="1920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072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the heading “Stock Performance Graph”, including the performance graph,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consolidated financial statements and the related notes included elsewhere in this annual report on Form 10-K.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on Form 10-K, particularly under the “Risk Factors” and “Special Note Regarding Forward-Looking Statements” sections.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release of new features that are customized for different player segments.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factors that affect the performance of our business, and the comparability of our results from period to period, including:</w:t>
      </w:r>
    </w:p>
    <w:p>
      <w:pPr>
        <w:spacing w:after="0" w:line="250" w:lineRule="exact"/>
        <w:rPr>
          <w:sz w:val="20"/>
          <w:szCs w:val="20"/>
          <w:color w:val="auto"/>
        </w:rPr>
      </w:pPr>
    </w:p>
    <w:p>
      <w:pPr>
        <w:jc w:val="both"/>
        <w:ind w:left="660" w:hanging="652"/>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of players into paying users and ongoing monetization. </w:t>
      </w:r>
      <w:r>
        <w:rPr>
          <w:rFonts w:ascii="Times New Roman" w:cs="Times New Roman" w:eastAsia="Times New Roman" w:hAnsi="Times New Roman"/>
          <w:sz w:val="18"/>
          <w:szCs w:val="18"/>
          <w:color w:val="auto"/>
        </w:rPr>
        <w:t>While our games are free-to-play, we generate substantially all of our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players’ purchases of in-game virtual items. Our financial performance is dependent, in part, on our ability to convert more active players into paying players and sustainably grow user spend over the long term. Our players’ willingness to consistently make in-app purchases is impacted by our ability to deliver engaging content and personalized user experiences.</w:t>
      </w:r>
    </w:p>
    <w:p>
      <w:pPr>
        <w:spacing w:after="0" w:line="206"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 of games and new technology</w:t>
      </w:r>
      <w:r>
        <w:rPr>
          <w:rFonts w:ascii="Times New Roman" w:cs="Times New Roman" w:eastAsia="Times New Roman" w:hAnsi="Times New Roman"/>
          <w:sz w:val="18"/>
          <w:szCs w:val="18"/>
          <w:color w:val="auto"/>
        </w:rPr>
        <w:t>. We have grown and expect to continue to grow our business by acquiring games and game studios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can benefit from our live operations services, our Playtika Boost Platform, our design experience, and our scale. When we acquire games and studios, we focus on providing existing audiences with proven content and applying our live operations to create a better game experience for users. We also seek to make acquisitions in technology that enhance our marketing, artificial intelligence and research and development capabilities.</w:t>
      </w:r>
    </w:p>
    <w:p>
      <w:pPr>
        <w:spacing w:after="0" w:line="210"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of new games and release of new content, offers, and features</w:t>
      </w:r>
      <w:r>
        <w:rPr>
          <w:rFonts w:ascii="Times New Roman" w:cs="Times New Roman" w:eastAsia="Times New Roman" w:hAnsi="Times New Roman"/>
          <w:sz w:val="18"/>
          <w:szCs w:val="18"/>
          <w:color w:val="auto"/>
        </w:rPr>
        <w:t>. Our revenue growth has been driven by improving the content, offers,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in our existing games and the acquisition of new games. In order to enhance the content, offers, and features in our existing games and to develop or acquire new games, we must invest a significant amount of our technological and creative resources, ensuring that we support an effective cadence of novel content creation that drives conversion and continued monetization. These expenditures generally occur months in advance of the release of new content or the launch or acquisition of a new game.</w:t>
      </w:r>
    </w:p>
    <w:p>
      <w:pPr>
        <w:spacing w:after="0" w:line="210"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User acquisition</w:t>
      </w:r>
      <w:r>
        <w:rPr>
          <w:rFonts w:ascii="Times New Roman" w:cs="Times New Roman" w:eastAsia="Times New Roman" w:hAnsi="Times New Roman"/>
          <w:sz w:val="18"/>
          <w:szCs w:val="18"/>
          <w:color w:val="auto"/>
        </w:rPr>
        <w:t>. We believe that we will be able to continue to grow our user base, including through traditional marketing and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informal marketing campaigns, and cross-promoting between our games, including new games we develop or acquire. We intend to continue to seek new opportunities to enhance and refine these marketing efforts to acquire new users, including identifying potential technologies to enhance our marketing and advertising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primarily derive revenue from the sale of virtual items associated with online games.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distribute our games to the end customer through various web and mobile platforms, such as Apple, Facebook, Google and other web and mobile platforms plus our own Direct-to-Consumer platforms. 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games are played on various third-party platforms for which the platform providers collect proceeds from our customers and pay us an amount after deducting platform fees. For purchases made through both the third-party and Direct-to-Consumer platforms,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includes payment processing fees, customer support, hosting fees and depreciation and amortization expenses associated with assets directly involved in the generation of revenues, including servers and internal use software. Platform providers (such as Apple, Facebook and Google) charge a transactional payment processing fee to accept payments from our players for the purchase of in-app virtual goods. Payment processing fees and other related expenses for in-app purchases made through our Direct-to-Consumer platforms are typically 3-4%, compared to a 30% platform fee for third party platforms. We generally expect cost of revenue to fluctuate proportionately with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research and development expenses will increase in absolute dollars as our business expands and as we increase our personnel headcount to support the expected growth in our technical development and operating activities. We also expect that research and development expenses specifically associated with new game development will fluctuate over time.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consists of costs related to advertising and user acquisition, including costs related to salaries, bonuses, benefits, and other compensation, including stock-based compensation and allocated overhead. In addition, sales and marketing expenses include depreciation and amortization expenses associated with assets related to our sales and marketing efforts. We plan to continue to invest in sales and marketing to retain and acquire users. However, sales and marketing expenses may fluctuate as a percentage of revenues depending on the timing and efficiency of our marketing efforts.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 expense categories above. We also record adjustments to contingent consideration payable recorded after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legal settlement expenses, as components of general and administrative expense. We expect general and administrative expenses will increase in absolute dollars to support our expected growth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 net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interest expense includes interest incurred under our December 2019 Credit Agreement and amortization of deferred financing costs, both of which are partially offset by interest income earned on the investment of excess cash and cash equivalents. We expect to continue to incur interest expense under our Credit Agreement, although such interest expense will fluctuate based upon the underlying variable interest rates. In March 2021, we entered into two interest rate swap agreements, each with a notional value of $250 million, reducing our overall exposure to variable interest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short-term bank deposits.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income taxes consists of current income taxes in the various jurisdictions where we are subject to taxation, primarily the United States, the United Kingdom, Israel, Germany, and Austria,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can fluctuate based on various factors, including our financial results and the geographic mix to which they relate, the applicability of special tax regimes, changes in our business or operations, examination-related developments and uncertain tax positions, and changes in tax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net income as revenue minus cost of revenues, research and development, sales and marketing and general and administrative expenses, interest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show the results of our key financial and operating metrics for the periods indicated. Unless otherwise indicated, financial metrics are presented in millions of U.S. Dollars, user statistics are presented in millions of users, and ARPDAU is presented in U.S. Dollars.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the performance of our business by using several key financial metrics, including revenue and operating income, and operating metrics, including Daily Active Users, Average Revenue per Daily Active User, Paying Users, and Average Revenue per Paying User. These operating metrics help our management to understand and measure the engagement levels of the Company’s players, the size of its audience and its reach. See “Basis of Presentation” and “Summary Consolidated Financial and Other Data” for additional information of these measures.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percentages, Average DPUs, and ARPDAU)</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2,371.5</w:t>
            </w: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cost and expenses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2,020.8</w:t>
            </w:r>
          </w:p>
        </w:tc>
        <w:tc>
          <w:tcPr>
            <w:tcW w:w="100" w:type="dxa"/>
            <w:vAlign w:val="bottom"/>
          </w:tcPr>
          <w:p>
            <w:pPr>
              <w:spacing w:after="0"/>
              <w:rPr>
                <w:sz w:val="19"/>
                <w:szCs w:val="19"/>
                <w:color w:val="auto"/>
              </w:rPr>
            </w:pPr>
          </w:p>
        </w:tc>
        <w:tc>
          <w:tcPr>
            <w:tcW w:w="4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1,984.3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4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9"/>
                <w:szCs w:val="19"/>
                <w:color w:val="auto"/>
              </w:rPr>
            </w:pPr>
          </w:p>
        </w:tc>
        <w:tc>
          <w:tcPr>
            <w:tcW w:w="4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Adjusted EBITDA</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4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848.7</w:t>
            </w: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858.9</w:t>
            </w:r>
          </w:p>
        </w:tc>
      </w:tr>
      <w:tr>
        <w:trPr>
          <w:trHeight w:val="256"/>
        </w:trPr>
        <w:tc>
          <w:tcPr>
            <w:tcW w:w="6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Non-financial performance metrics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DAUs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DPUs (in thousands)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Daily Payer Conversion</w:t>
            </w:r>
          </w:p>
        </w:tc>
        <w:tc>
          <w:tcPr>
            <w:tcW w:w="5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ARPDAU</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4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r>
      <w:tr>
        <w:trPr>
          <w:trHeight w:val="234"/>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MAUs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w:t>
            </w:r>
          </w:p>
        </w:tc>
      </w:tr>
      <w:tr>
        <w:trPr>
          <w:trHeight w:val="549"/>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2022 versus the year ended December 31, 2021</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9"/>
        </w:trPr>
        <w:tc>
          <w:tcPr>
            <w:tcW w:w="6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5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earned through third-party platforms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earned through Direct-to-Consumer platforms</w:t>
            </w:r>
          </w:p>
        </w:tc>
        <w:tc>
          <w:tcPr>
            <w:tcW w:w="5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48"/>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2,615.5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735.7</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48"/>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year ended December 31, 2022 increased by $32.5 million when compared to 2021. This year-over-year comparison includes incremental revenues of $34.3 million generated from the Company’s August 2021 acquisition Reworks. Absent this acquisition, revenues in 2022 declined when compared with 2021 as improved monetization and increased revenues from new content and product features across our broader portfolio of games were unable to offset the incremental revenues recognized in 2021 due to the Covid pandemic. The combination of unusually high DAUs in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2021, combined with the continued focus of the Company’s marketing efforts on player conversion rather than increasing player traffic lead to a decrease in DAUs for 2022 when compared with 2021. The same focus on player conversion, combined with improvements to monetization, new content and new product features drove an increase in DPUs in 2022 compared to 2021. The increase in revenues generated from Direct-to-Consumer platforms as a percentage of total revenues resulted from marketing activities for the games offered through these platforms.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for the year ended December 31, 2022 increased by $6.7 million when compared with the year ended December 31, 2021. The increase in cost of revenue includes approximately $10.0 million in incremental platform fees associated with the August 2021 acquisition of Reworks. Absent this acquisition, cost of revenues for 2022 would have declined when compared to 2021, primarily as a result of the increase in revenues generated through our Direct-to-Consumer platforms, partially offset by increased depreciation and amortization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2022 increased by $85.6 million when compared with the year ended December 31, 2021. Research and development expenses were adversely impacted by increased headcount and associated payroll costs in our existing research and development operations, including costs incurred in connection with severance payments incurred during the fourth quarter 2022 in connection with our workforce reduction. In addition, stock-based compensation costs, net of amounts capitalized, included in research and development expenses increased by $15.7 million for the year ended December 31, 2022 when compared with the year ended December 31,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year ended December 31, 2022 increased by $22.0 million when compared with the year ended December 31, 2021. The increase in sales and marketing expenses was primarily related to increased amortization expense, increased media buy expenses, increased stock-based compensation costs, and increased headcount and higher associated payroll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2022 increased by $9.0 million when compared with the year ended December 31, 2021. General and administrative expenses includes stock-based compensation expenses of $69.5 million for the year ended December 31, 2022, compared with $64.4 million for the year ended December 31, 2021. Included in general and administrative expenses for the year ended December 31, 2021, with no comparable amount for the year ended December 31, 2022, are bonus expenses of approximately $35.4 million paid as a result of the successful initial public offering of the Company’s stock in January 2021. Adjusting for these items, general and administrative expenses increased by approximately $39.3 million, primarily due to increased compensation costs associated with the long-term incentive plan and costs associated with exploring strategic alternatives, which were partially offset by reduced expense attributable to adjusting contingent consideration to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2021 versus the year ended December 31, 2020</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99"/>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earned through third-party platforms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earned through Direct-to-Consumer platforms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for the year ended December 31, 2021 increased by $211.5 million when compared to 2020. The increase in revenues was due to incremental revenues of $32.4 million generated from the Company’s August 2021 acquisition of 80% of the issued and registered shares and options of Reworks, combined with improved monetization and increased revenues from new content and product features across our broader portfolio of games when compared to 2020. The combination of unusually high DAUs in early 2020 related to the initial onset of COVID 19, combined with the continued focus of the Company’s marketing efforts on player conversion rather than increasing player traffic lead to a decrease in DAUs for 2021 when compared with 2020. The same focus on player conversion, combined with improvements to monetization, new content and new product features drove an increase in DPUs in 2021 compared with 2020. The increase in revenues generated from Direct-to-Consumer platforms as a percentage of total revenues resulted from marketing activities for the games offered through these platforms.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2021 increased by $16.8 million when compared with the year ended December 31, 2020. The increase in cost of revenue includes approximately $9.7 million in incremental platform fees associated with the August 2021 acquisition of Reworks. The remaining increase was primarily due to increased amortization expense for capitalized software and for intangible assets associated with recent acquisitions.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2021 increased by $117.8 million when compared with the year ended December 31, 2020. Research and development expenses were adversely impacted by increased headcount and associated payroll costs in our existing research and development operations and, to a lesser extent, by the expansion of our research and development operations into new offices in Poland. In addition, stock-based compensation costs, net of amounts capitalized, included in research and development expenses increased by $27.2 million for the year ended December 31, 2021 when compared with the year ended December 31,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year ended December 31, 2021 increased by $79.7 million when compared with the year ended December 31, 2020. The increase in sales and marketing expenses was primarily due to approximately $21.7 million in incremental expenses incurred by us related to the acquisition of Reworks, and to increased marketing expenses related to media buy expenses, increased stock-based compensation costs, and increased headcount and higher associated payroll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2021 decreased by $177.8 million when compared with the year ended December 31, 2020. General and administrative expenses includes stock-based compensation expenses of $64.4 million for the year ended December 31, 2021, compared with $275.1 million for the year ended December 31, 2020. Included in general and administrative expenses for the year ended December 31, 2021, with no comparable amount for the year ended December 31, 2020, are bonus expenses of approximately $35.4 million paid as a result of the successful initial public offering of the Company’s stock in January 2021. Included in general and administrative expenses for the year ended December 31, 2020, with no comparable amount for the year ended December 31, 2021, are expenses of approximately $37.6 million related to a litigation settlement. Adjusting for these items, general and administrative expenses increased by approximately $35.2 million, primarily due to increased compensation costs associated with the long-term incentive plan, which was partially offset by reduced expense attributable to adjusting contingent consideration to fair value.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Factors Affecting Net Income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6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 2022, 2021 and 2020 is primarily related to amounts borrowed under the December 2019 Credit Facilities.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in 2022 when compared with 2021 is driven primarily by lower average interest rates. The increase in interest income in 2022 when compared with 2021 is driven primarily by more active investment of excess cash in income-bearing investments.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2021, the Company amended the Credit Agreement which, among other things, effected a refinancing of the Old Term Loan with a new $1.9 billion senior secured first lien term loan borrowed under the Credit Agreement. Also on March 11, 2021, the Company issued $600.0 million aggregate principal amount of its 4.250% senior notes due 2029 under an indenture, dated March 11, 2021. The combination of these two March 2021 transactions significantly reduced our average interest rates on our outstanding indebtedness, driving the decrease in interest expense in 2021 when compared with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 2022, 2021 and 2020 is primarily related to interest earned on cash, cash equivalents and short term bank deposits, of which there were greater amounts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 was $85.5 million for the year ended December 31, 2022 and the effective income tax rate was 23.7%. The difference between the effective income tax rate and the U.S. statutory tax rate is due to recurring items such as tax rates in foreign jurisdictions and the relative amounts of income earned in those jurisdictions, unrecognized tax benefits, and GILTI inclusion. It is also affected by items that are not consistent from year to year. Of these items, the primary differences related to the reversal of a valuation allowance relating to foreign net operating losses and return-to-provision adjustments.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 was $99.9 million for the year ended December 31, 2021 and the effective income tax rate was 24.5%. The difference between the effective income tax rate and the U.S. statutory tax rate was due to recurring items such as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tax rates in foreign jurisdictions and the relative amounts of income earned in those jurisdictions, unrecognized tax benefits, and GILTI inclusion. It is also affected by items that are not consistent from year to year. Of these items, the primary difference related to the reversal of deferred tax liabilities due to the change in reinvestment assertion related to undistributed earnings of certain of our non-U.S. subsidiaries during the year.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 was $102.3 million for the year ended December 31, 2020, and the effective income tax rate was 52.6%. The difference between the effective income tax rate and the U.S. statutory tax rate was due to recurring items such as tax rates in foreign jurisdictions and the relative amounts of income earned in those jurisdictions. In addition, the effective tax rate for the year ended December 31, 2020 was affected by significant non-deductible stock-based compensation expense for certain restricted stock units granted during the year ended December 31,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aggregating all of the components of our results of operations above, net income for the year ended December 31, 2022 decreased by $33.2 million when compared with 2021. Net income for the year ended December 31, 2021 increased $216.4 million when compared to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Credit Adjusted EBITDA to net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Adjusted EBITDA is a non-GAAP financial measure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Below is a reconciliation of Credit Adjusted EBITDA to net income, the closest GAAP financial measure. Our Credit Agreement defines Adjusted EBITDA (which we call “Credit Adjusted EBITDA”) as net income before (i) interest expense, (ii) interest income, (iii) provision for income taxes, (iv) depreciation and amortization expense, (v) stock-based compensation, (vi) legal settlements, (vii) contingent consideration, (viii) acquisition and related expenses, and (ix) certain other items. We calculate Credit Adjusted EBITDA Margin as Credit Adjusted EBITDA divided by revenues.</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Credit Adjusted EBITDA and Credit Adjusted EBITDA Margin as calculated herein may not be comparable to similarly titled measures reported by other companies within the industry and are not determined in accordance with GAAP. Our presentation of Credit Adjusted EBITDA and Credit Adjusted EBITDA Margin should not be construed as an inference that our future results will be unaffected by unusual or unexpected items.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92.1</w:t>
            </w:r>
          </w:p>
        </w:tc>
      </w:tr>
      <w:tr>
        <w:trPr>
          <w:trHeight w:val="230"/>
        </w:trPr>
        <w:tc>
          <w:tcPr>
            <w:tcW w:w="6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6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192.8</w:t>
            </w:r>
          </w:p>
        </w:tc>
      </w:tr>
      <w:tr>
        <w:trPr>
          <w:trHeight w:val="229"/>
        </w:trPr>
        <w:tc>
          <w:tcPr>
            <w:tcW w:w="6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119.2</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506.4</w:t>
            </w:r>
          </w:p>
        </w:tc>
      </w:tr>
      <w:tr>
        <w:trPr>
          <w:trHeight w:val="229"/>
        </w:trPr>
        <w:tc>
          <w:tcPr>
            <w:tcW w:w="64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276.0</w:t>
            </w:r>
          </w:p>
        </w:tc>
      </w:tr>
      <w:tr>
        <w:trPr>
          <w:trHeight w:val="230"/>
        </w:trPr>
        <w:tc>
          <w:tcPr>
            <w:tcW w:w="6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640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Acquisition and related expenses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40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Legal settlement</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640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848.7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858.9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margin</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3.9 %</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Adjusted EBITDA margin</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p>
      <w:pPr>
        <w:ind w:left="360" w:hanging="352"/>
        <w:spacing w:after="0"/>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for all years, stock-based compensation expense related to the issuance of equity awards to certain of our employees.</w:t>
      </w:r>
    </w:p>
    <w:p>
      <w:pPr>
        <w:spacing w:after="0" w:line="23"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the year ended December 31, 2022 primarily relate to expenses incurred by the Company in connection with the evaluation of strategic alternatives for the</w:t>
      </w:r>
    </w:p>
    <w:p>
      <w:pPr>
        <w:spacing w:after="0" w:line="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6"/>
          <w:szCs w:val="16"/>
          <w:color w:val="auto"/>
        </w:rPr>
        <w:t>Company. Amounts for the year ended December 31, 2021 primarily relate to bonus expenses paid as a result of the successful initial public offering of the Company’s stock in January 2021. Amounts for the year ended December 31, 2020 include third-party fees for actual or planned acquisitions, including related legal, consulting and other expenditures.</w:t>
      </w:r>
    </w:p>
    <w:p>
      <w:pPr>
        <w:spacing w:after="0" w:line="2"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legal settlement expense of $37.6 million for the year ended December 31, 2020.</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for the year ended December 31, 2022 consists of $13.2 million incurred by the Company for severance, $4.1 million incurred by the Company for relocation</w:t>
      </w:r>
    </w:p>
    <w:p>
      <w:pPr>
        <w:spacing w:after="0" w:line="8" w:lineRule="exact"/>
        <w:rPr>
          <w:sz w:val="20"/>
          <w:szCs w:val="20"/>
          <w:color w:val="auto"/>
        </w:rPr>
      </w:pPr>
    </w:p>
    <w:p>
      <w:pPr>
        <w:ind w:left="660" w:right="20"/>
        <w:spacing w:after="0" w:line="270" w:lineRule="auto"/>
        <w:rPr>
          <w:sz w:val="20"/>
          <w:szCs w:val="20"/>
          <w:color w:val="auto"/>
        </w:rPr>
      </w:pPr>
      <w:r>
        <w:rPr>
          <w:rFonts w:ascii="Times New Roman" w:cs="Times New Roman" w:eastAsia="Times New Roman" w:hAnsi="Times New Roman"/>
          <w:sz w:val="16"/>
          <w:szCs w:val="16"/>
          <w:color w:val="auto"/>
        </w:rPr>
        <w:t>and support provided to employees due to the war in Ukraine and $16.4 million incurred related to the announced restructuring activities. Amounts for the years ended December 31, 2021 and 2020 include business optimization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social or mobile games that meet our strategic and return on investment criteria. Capital needs are evaluated on an individual investment basis and may require significant capital commitments.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currently available unrestricted cash and cash equivalents, short-term bank deposits, and borrowings under our Credit Facility and Revolver. Our cash and cash equivalents and short-term bank deposits totaled $768.7 million and $1,117.1 million at December 31, 2022 and December 31, 2021, respectively. As of December 31, 2022 and 2021, we had $600 million in additional borrowing capacity pursuant to our Revolving Credit Facility. Payments of short-term debt obligations and other commitments are expected to be made from cash on the balance sheet and operating cash flows. Long-term obligations are expected to be paid through operating cash flows, or, if necessary, borrowings under our Revolving Credit facility or, if necessary, additional term loans or issuances of equity.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restricted cash totaled $1.7 million and $2.0 million at December 31, 2022 and December 31, 2021, respectively. Restricted cash primarily consists of deposits to secure obligations under our operating lease agreements and to secure company-issued credit cards. The classification of restricted cash as current and long-term is dependent upon the intended use of each particular reserve.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short-term bank deposits, restricted cash, borrowing capacity under our Revolving Credit Facility and our cash flows from operations will be sufficient to meet our normal operating requirements during the next 12 months and the foreseeable future and to fund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present a summary of our cash flows for the periods indicated (in millions):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66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provided by operating activities for the year ended December 31, 2022 decreased $58.0 million when compared with the year ended December 31, 2021. Net cash flows provided by operating activities for the year ended December 31, 2021 increased $34.0 million when compared with the year ended December 31, 2020.</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flow provided by operating activities for each period primarily consisted of net income generated during the period, exclusive of non-cash expenses such as depreciation, amortization and stock-based compensation, with changes in working capital impacted by normal timing differences.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used in investing activities for the year ended December 31, 2022 decreased $534.8 million when compared to the year ended December 31, 2021 mainly due to $394.1 million of consideration paid (net of cash acquired) for the 2021 acquisition of Reworks.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flows used in investing activities for the year ended December 31, 2021 increased $511.3 million when compared to the year ended December 31, 2020, due to $394.1 million of consideration paid (net of cash acquired) for the 2021 acquisition of Reworks.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financing activities for the year ended December 31, 2022 was $652.0 million when compared to net cash flows provided by financing activities of $559.7 million for the year ended December 31, 2021. Financing activity cash flows for the year ended December 31, 2022 primarily related to the Company’s Tender Offer in October 2022. Financing activity cash flows for the year ended December 31, 2021 primarily related to the Company’s initial public offering of its equity in January 2021, and the refinancing of its Old Term Loan (as defined below) in March 2021.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provided by financing activities for the year ended December 31, 2021 increased $741.0 million when compared to the year ended December 31, 2020. Financing activity cash flows for the year ended December 31, 2021 primarily relate to the Company’s initial public offering of its equity in January 2021, and the refinancing of its Old Term Loan in March 2021. Financing activity cash flows for the year ended December 31, 2020 primarily relate to repayments on the Company’s bank borrowings.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10, 2019, we entered into $2,750 million of senior secured credit facilities (the “Credit Facilities”), consisting of a $250 million revolving credit facility (the “Revolving Credit Facility”), and a $2,500 million first lien term loan (the “Old Term Loan”). The Credit Facilities were provided pursuant to the Credit Agreement, dated as of December 10, 2019, by and among Playtika, the lenders party thereto, and Credit Suisse, AG, Cayman Islands Branch, as administrative agent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89" w:lineRule="auto"/>
        <w:rPr>
          <w:sz w:val="20"/>
          <w:szCs w:val="20"/>
          <w:color w:val="auto"/>
        </w:rPr>
      </w:pPr>
      <w:r>
        <w:rPr>
          <w:rFonts w:ascii="Times New Roman" w:cs="Times New Roman" w:eastAsia="Times New Roman" w:hAnsi="Times New Roman"/>
          <w:sz w:val="17"/>
          <w:szCs w:val="17"/>
          <w:color w:val="auto"/>
        </w:rPr>
        <w:t>such capacity, the "Administrative Agent") and collateral agent (in such capacity, the "Collateral Agent"). Proceeds borrowed under the Credit Facilities on the closing date were used to pay off the outstanding balance on our prior debt facility. On June 15, 2020, we increased the capacity of the Revolving Credit Facility to $350 million. On January 15, 2021, we increased the borrowing capacity of the Revolving Credit Facility from $350 million to $550 million.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2021, the Credit Agreement was amended pursuant to an Incremental Assumption Agreement No. 3 and Second Amendment to Credit Agreement (the “Second Amendment”).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Amendment, among other things, effected a refinancing of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March 11, 2021, we issued $600.0 million aggregate principal amount of our 4.250% senior notes due 2029 (the “Notes”). The Notes mature on March 15, 2029. Interest on the Notes will accrue at a rate of 4.250% per annum. Interest on the Notes is payable semi-annually in cash in arrears on March 15 and September 15 of each year, commencing on September 15,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Significant terms of the Credit Facilities, the New Term Loan and the Notes, including balances outstanding, interest and fees, mandatory and voluntary prepayment requirements, collateral and guarantors and restrictive covenants are detailed in </w:t>
      </w:r>
      <w:r>
        <w:rPr>
          <w:rFonts w:ascii="Times New Roman" w:cs="Times New Roman" w:eastAsia="Times New Roman" w:hAnsi="Times New Roman"/>
          <w:sz w:val="18"/>
          <w:szCs w:val="18"/>
          <w:i w:val="1"/>
          <w:iCs w:val="1"/>
          <w:color w:val="auto"/>
        </w:rPr>
        <w:t>Note 12, Debt</w:t>
      </w:r>
      <w:r>
        <w:rPr>
          <w:rFonts w:ascii="Times New Roman" w:cs="Times New Roman" w:eastAsia="Times New Roman" w:hAnsi="Times New Roman"/>
          <w:sz w:val="18"/>
          <w:szCs w:val="18"/>
          <w:color w:val="auto"/>
        </w:rPr>
        <w:t>, to the accompanying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prepare our financial statements in conformity with U.S. GAAP.</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accounting policies require that we apply significant judgment in defining the appropriate assumptions for calculating financial estimates. By their nature, these judgments will be subject to an inherent degree of uncertainty. Our judgments are based upon our management’s historical experience, terms of existing contracts, observance of trends in the industry, information provided by our customers and information available from other outside sources, as appropriate.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accounting estimates to be critical accounting policies when:</w:t>
      </w:r>
    </w:p>
    <w:p>
      <w:pPr>
        <w:spacing w:after="0" w:line="25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involve matters that are highly uncertain at the time the accounting estimate is made;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estimates or changes to estimates could have a material impact on the reported financial positions, changes in financial position or results of operations.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When more than one accounting principle, or method of its application, is generally accepted, we select the principle or method that we consider to be the most appropriate when given the specific circumstances. Application of these accounting principles requires us to make estimates about the future resolution of existing uncertainties. Due to the inherent uncertainty involving estimates, actual results reported in the future may differ from such estimates. For additional information on our significant accounting policies, please refer to </w:t>
      </w:r>
      <w:r>
        <w:rPr>
          <w:rFonts w:ascii="Times New Roman" w:cs="Times New Roman" w:eastAsia="Times New Roman" w:hAnsi="Times New Roman"/>
          <w:sz w:val="18"/>
          <w:szCs w:val="18"/>
          <w:i w:val="1"/>
          <w:iCs w:val="1"/>
          <w:color w:val="auto"/>
        </w:rPr>
        <w:t>Note 1, Organization and Summary of Significant Accounting Policies,</w:t>
      </w:r>
      <w:r>
        <w:rPr>
          <w:rFonts w:ascii="Times New Roman" w:cs="Times New Roman" w:eastAsia="Times New Roman" w:hAnsi="Times New Roman"/>
          <w:sz w:val="18"/>
          <w:szCs w:val="18"/>
          <w:color w:val="auto"/>
        </w:rPr>
        <w:t xml:space="preserve"> to the financial statements included elsewhere in this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apply the provisions of ASC 805,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and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management makes significant estimates and assumptions, especially with respect to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estimates in valuing certain intangible assets include, but are not limited to, future expected cash flows from acquired technology and acquired trademarks and user base from a market participant perspective, useful lives and discount rates. Management’s estimates of fair value are based upon assumptions believed to be reasonable, but which are inherently uncertain and unpredictable and, as a result, actual results may differ from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internal use software development cost associated with infrastructure and new games or updates to existing games to determine if the costs qualify for capitalizing. The development costs incurred during the application development stage that are related to infrastructure are capitalized. Internal use software is included in intangible assets other than goodwill, net in the accompanying consolidated balance sheets. Capitalization of such costs begins when the preliminary project stage is completed and ceases at the point in which the project is substantially complete and is ready for its intended purpose. With respect to new games or updates to existing games, the preliminary project stage remains ongoing until just prior to worldwide launch. The development costs related to new games or updates to existing games are expensed as incurred to research and development in the consolidated statements of comprehensive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purchase price of an acquisition is allocated to the underlying assets acquired and liabilities assumed based upon their estimated fair values at the date of acquisition. We determine the estimated fair values of assets acquired and liabilities assumed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 Under ASC 350, </w:t>
      </w:r>
      <w:r>
        <w:rPr>
          <w:rFonts w:ascii="Times New Roman" w:cs="Times New Roman" w:eastAsia="Times New Roman" w:hAnsi="Times New Roman"/>
          <w:sz w:val="18"/>
          <w:szCs w:val="18"/>
          <w:i w:val="1"/>
          <w:iCs w:val="1"/>
          <w:color w:val="auto"/>
        </w:rPr>
        <w:t>Intangible—Goodwill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w:t>
      </w:r>
      <w:r>
        <w:rPr>
          <w:rFonts w:ascii="Times New Roman" w:cs="Times New Roman" w:eastAsia="Times New Roman" w:hAnsi="Times New Roman"/>
          <w:sz w:val="18"/>
          <w:szCs w:val="18"/>
          <w:color w:val="auto"/>
        </w:rPr>
        <w:t>, goodwill is not amortized, but rather is subject to an annual impairment test.</w:t>
      </w:r>
    </w:p>
    <w:p>
      <w:pPr>
        <w:spacing w:after="0" w:line="2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test goodwill for impairment as of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or more frequently if events or changes in circumstances indicate that this asset may be impaired. For the purposes of impairment testing, we have determined that we have one reporting unit. When performing the annual goodwill impairment testing, we either conduct a qualitative assessment to determine whether it is more likely than not that the asset is impaired, or we elect to bypass this qualitative assessment and perform a quantitative test for impairment.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qualitative assessment, we consider both positive and negative factors, including macroeconomic conditions, industry events, financial performance and other changes, and makes a determination of whether it is more likely than not that the fair value of goodwill is less than its carrying amount. If, after assessing the qualitative factors, we determine it is more likely than not the asset is impaired, we then perform a quantitative test in which the estimated fair value of the reporting unit is compared with its carrying amount, including goodwill.</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quantitative analysis is necessary, we compare the fair value of our reporting unit to our carrying value. We determine the estimated fair value based on a combination of EBITDA and estimated future cash flows discounted at rates commensurate with the capital structure and cost of capital of comparable market participants, giving appropriate consideration to the prevailing borrowing rates within the industry in general. EBITDA multiples and discounted cash flows are common measures used to value businesses in our industry.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estimated fair value exceeds carrying value, goodwill is considered not to be impaired and no additional steps are necessary. However, if the carrying amount exceeds estimated fair value, an impairment loss is recognized in an amount equal to the excess, limited to the amount of goodwill allocated to the reporting unit.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evaluation of goodwill requires the use of estimates about future operating results, valuation multiples, and discount rates to determine their fair value. Changes in these assumptions can materially affect these estimates. Thus, to the extent the revenues volumes deteriorate in the near future, discount rates increase significantly, or we do not meet our projected performance, we could have impairments to record in the next twelve months, and such impairments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long-lived assets to be held or used, including right-of-use (“ROU”) assets, and identifiable intangible assets that are subject to amortization are tested for impairment whenever events or changes in circumstances indicate that the carrying amount of an asset may not be recoverable, in accordance with ASC 360,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xml:space="preserve"> Impairment indicators include any significant changes in the manner of the Company’s use of the assets and significant negative industry or economic trends. We recognize impairment based on the difference between the fair value of the asset and its carrying value. Fair value is generally measured based on either quoted market prices, if available, or a discounted cash flow analysis.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determination that the carrying value of a long-lived asset may not be recoverable based upon a comparison of aggregate undiscounted projected future cash flows to the carrying amount of the asset, an impairment charge is recorded for the excess of the carrying amount over fair value. There is inherent uncertainty in our forecasts and projections used in any impairment analysis, and different assumptions and estimates could have lead to different impairment test results, and those results could have been materially different.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cash flow projections for use in any impairment indicators test or fair value analysis requires management to make critical estimates, judgments and assumptions with regards to estimated future cash flows, as they are, by their nature, subjective and actual results may differ materially from such estimates. Cash flow estimates are unpredictable and inherently uncertain, since they are based on the current regulatory, political and economic climates, recent operating information and projections. Such estimates could be negatively impacted by changes in federal, state or local regulations, economic downturns, competition, events affecting various forms of travel and access to our properties, and other factors. If our estimates of future cash flows are not met or if there are changes in significant assumptions and judgments used in the estimation process, we may have to record impairment charges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primarily derive revenues from the sale of virtual items associated with online games. We distribute our games to the end customer through various web and mobile platforms such as Apple, Facebook, Google, and other web and mobile platforms. Through these platforms, users can download our free-to-play games and can purchase virtual currency which is redeemed in the game for virtual goods, or players can purchase virtual goods directly (collectively referred to as virtual items) to enhance their game-playing experience.</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initial download of the games does not create a contract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however, the separate election by the player to make an in-application purchase satisfies the ASC 606 criterion for creating a contract.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Players can pay for their virtual item purchases through various widely accepted payment methods offered in the games. Payments from players for virtual items are required at the time of purchase, are non-refundable and relate to non-cancellable contracts that specify our obligations and cannot be redeemed for cash nor exchanged for anything other than virtual items within our games. The purchase price is a fixed amount which reflects the consideration that we expect to be entitled to receive in exchange for use of virtual items by our customers. The platform providers collect proceeds from the game players and remit the proceeds to us after deducting their respective platform fees.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primarily responsible for providing the virtual items, have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 Our performance obligation is to display the virtual items within the game over the estimated life of the paying player or until the virtual item is consumed in game play based upon the nature of the virtual item.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categorize our virtual items as either consumable or durable. The substantial majority of our games sell only consumable virtual items. Consumable virtual items represent items that can be consumed by a specific player action and do not provide the player any continuing benefit following consumption. For the sale of consumable virtual items, we recognize revenues as the items are consumed (i.e. over time) which is usually up to one month. We have determined through a review of game play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behavior that players generally do not purchase additional virtual currency until their existing virtual currency balances have been substantially consumed. This review, performed on a game-by-game basis, includes an analysis of game players’ historical play behavior, purchase behavior, and the amount of virtual currency outstanding. Based upon this analysis, we have estimated the rate at which virtual currency is consumed during game play within each game. Accordingly, revenues are recognized using a user-based revenue model using these estimated consumption rates. We monitor our analysis of customer play behavior on a quarterly basis.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Durable virtual items represent items that are accessible to the player over an extended period of time. We sell durable virtual items primarily through games acquired in recent acquisitions. We recognize revenues from the sale of durable virtual items ratably over the estimated average life of the paying player, which is estimated on a game-by-game basis and generally ranges from three months up to one year. We estimate the average life of the paying player based on historical paying player patterns and playing behaviors within each of the specific games that offer durable virtual items. We monitor our operational data and player patterns and re-assess our estimates on a quarterly basis.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which represent a contract liability, represent mostly unrecognized fees collected for virtual items which are not consumed at the balance sheets date, or for players that are still active in the games.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other taxes collected from customers on behalf of governmental authorities are accounted for on a net basis and are not included in revenues or operating expenses.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relationships with certain advertising service providers for advertisements within our games and revenues from these advertising providers is generated through impressions, clickthroughs, banner ads and offers. We have determined that displaying the advertisements within the mobile games is identified as a single performance obligation. The transaction price in advertising arrangements is established by our advertising service providers and is generally the product of the number of advertising units delivered (e.g. impressions, offers completed, etc.) and the contractually agreed upon price per unit. Revenues from advertisements and offers are recognized at a point-in-time when the advertisements are displayed in the game or the offer has been completed by the user as the customer simultaneously receives and consumes the benefits provided from these services. We have determined that we are generally acting as an agent in our advertising arrangements as the advertising service providers maintain the relationship with the customers, control the pricing of the advertising such that we do not know the total price paid by the customer to the service providers, and control the advertising product through the time the advertisements are displayed in our games. Therefore, we recognize revenues related to these arrangements on a net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stock-based compensation program which provides for equity awards including time-based stock options, restricted stock units (“RSUs”) and performance stock units (“PSUs”). Stock-based compensation expense is measured at the grant date, based on the estimated fair value of the award, and is recognized as expense on a straight-line basis over the requisite service period for options and RSUs and on an accelerated basis for PSUs. The Company records forfeitures as a reduction of stock-based compensation expense as those forfeitures occur.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used the Black-Scholes option pricing model to estimate the fair value and compensation cost associated with stock options. As we do not have a long history of market prices for our common stock because the stock was not publicly traded prior to January 2021, we used observable data for a group of peer companies that grant options with substantially similar terms to assist in developing our volatility assumptions. The expected volatility of the stock was determined using weighted average measures of the implied volatility and the historical volatility for our peer group of companies for a period equal to the expected life of the options. The weighted-average risk-free interest rates were based on the interest rate for U.S. Treasury bonds. The expected term assumptions were derived using the simplified method, which is based on an average between each vesting date and the expiration date of an option. This method was chosen because there was no historical option exercise experience due to us being privately held. We do not anticipate paying cash dividends on our shares of common stock in the future. The stock options have a contractual term of 10 years. Except as otherwise provided in an agreement between us and the employee, if an employee is terminated (voluntarily or involuntarily), any unvested awards as of the date of termination will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If factors change and we employ different assumptions, stock-based compensation cost on future awards may differ significantly from what we have recorded in the past. Higher volatility and longer expected terms result in an increase to stock-based compensation determined at the date of grant. Future stock-based compensation cost and unrecognized stock-based compensation will increase to the extent that we grant additional equity awards to employees or assume unvested equity awards in connection with acquisitions. If there are any modifications or cancellations of the underlying unvested equity awards, we may be required to accelerate any remaining unearned stock-based compensation cost or incur incremental cost.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associated per-share value at the time of grant to determine the compensation cost to be recognized associated with RSUs and PSUs granted. We periodically review the estimates of performance against the defined criteria to assess the expected payout of each outstanding PSU grant and adjust the stock compensation expense accordingly.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RSUs, shares are issued on the vesting dates net of the applicable statutory income tax withholding to be paid by us on behalf of our employees. As a result, fewer shares are generally issued than the number of RSUs outstanding, and the income tax withholding is recorded as a reduction to additional paid-in capital.</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stock-based compensation expense is recorded in the financial statement line items relevant to each of the award recipients. See </w:t>
      </w:r>
      <w:r>
        <w:rPr>
          <w:rFonts w:ascii="Times New Roman" w:cs="Times New Roman" w:eastAsia="Times New Roman" w:hAnsi="Times New Roman"/>
          <w:sz w:val="18"/>
          <w:szCs w:val="18"/>
          <w:i w:val="1"/>
          <w:iCs w:val="1"/>
          <w:color w:val="auto"/>
        </w:rPr>
        <w:t>Note 13,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and Stock Incentive Plan, </w:t>
      </w:r>
      <w:r>
        <w:rPr>
          <w:rFonts w:ascii="Times New Roman" w:cs="Times New Roman" w:eastAsia="Times New Roman" w:hAnsi="Times New Roman"/>
          <w:sz w:val="18"/>
          <w:szCs w:val="18"/>
          <w:color w:val="auto"/>
        </w:rPr>
        <w:t>in the accompanying audited consolidated financial statements for the three years ended December 31, 2022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discussion.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use interest rate swap contracts to reduce our exposure to fluctuating interest rates associated with our variable rate debt, and to effectively increase the portion of debt upon which we pay a fixed interest rate. Our interest rate swap agreements are designated as cash flow hedges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involving the receipt of variable amounts from a counterparty in exchange for us making fixed-rate payments over the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agreement, without the exchange of the underlying notional amount. These hedges are highly effective in offsetting changes in our future expected cash flows due to the fluctuation of our variable rate debt.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monitor the effectiveness of our hedges on a quarterly basis, both qualitatively and quantitatively. We performed a regression analysis at inception of the hedging relationship and at period end in which it compared the change in the fair value of the swap transaction and the change in fair value of a hypothetical interest rate swap having terms that identically match the terms of the debt's interest rate payments based on at least 30 observations that are based on historical swap rates. Based on the regression results, we believe that, at inception and at period end, the hedging instrument is expected to be highly effective at offsetting changes in the hedged transactions attributable to the risk being hedged. For each future reporting period, we will continue performing retrospective and prospective assessments of hedge effectiveness in a single regression analysis by updating the regression analysis that was prepared at inception of the hedging relationship.</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use foreign currency derivative contracts to reduce our exposure to fluctuating exchange rates between the United States dollar (as our functional currency) and certain expense lines denominated in Israeli Shekels (“ILS”), Polish Zloty (“PLN”) and Romanian Leu (“RON”). Our derivative contracts are designated as cash flow hedges under ASC 815. We monitor the effectiveness of our hedges on a quarterly basis, both qualitatively and quantitatively, and expects these hedges to remain highly effective at offsetting fluctuations in exchange rates through their respective maturity dates. See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for additional discussion.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 The fair value approximates the amount we would pay or receive if these contracts were settled at the respective valuation dates. The inputs used to measure the fair value of our interest rate swap agreements are categorized as Level 2 in the fair value hierarchy as established by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The inputs used to measure the fair value of our foreign currency derivative contracts are categorized as Level 2 in the fair value hierarchy as established by ASC 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expiring unused and tax planning alternatives.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numerous foreign jurisdictions. The evaluation of the Company’s uncertain tax positions involves significant judgment in the interpretation and application of GAAP and complex domestic and international tax laws, and matters related to the allocation of international taxation rights between countries. Although management believes the Company’s reserves are reasonable, no assurance can be given that the final outcome of these uncertainties will not be different from that which is reflected in the Company’s reserves. Reserves are adjusted considering changing facts and circumstances, such as the closing of a tax examination. Resolution of these uncertainties in a manner inconsistent with management’s expectations could have a material impact on the Company’s financial condition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 Organization and Summary of Significant Accounting Policies,</w:t>
      </w:r>
      <w:r>
        <w:rPr>
          <w:rFonts w:ascii="Times New Roman" w:cs="Times New Roman" w:eastAsia="Times New Roman" w:hAnsi="Times New Roman"/>
          <w:sz w:val="18"/>
          <w:szCs w:val="18"/>
          <w:color w:val="auto"/>
        </w:rPr>
        <w:t xml:space="preserve"> to our audited consolidated financial statements included elsewhere in this filing for a description of recently adopted accounting pronouncements and recently issued accounting pronouncements not yet adopted as of the date of this filing.</w:t>
      </w:r>
    </w:p>
    <w:p>
      <w:pPr>
        <w:spacing w:after="0" w:line="1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risk, investment risk, and foreign currency risk as follows: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exposures to market risk for changes in interest rates relate primarily to our Term Loan and our Revolving Credit Facility. The Term Loan and our Revolving Credit Facility are floating rate facilities. Therefore, fluctuations in interest rates will impact the amount of interest expense we incur and have to pay.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we entered into two interest rate swap agreements, each with a notional value of $250 million. Each of these swap agreements is with a different financial institution as the counterparty to reduce our counterparty risk. Each swap requires the Company to pay a fixed interest rate of 0.9275% in exchange for receiving the underlying floating rate. Upon the update of the index to SOFR, we expect that the fixed rate will change from this current rate. The interest rate swap agreements settle monthly commencing in April 2021 through their termination dates on April 30,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 entered into two interest rate swap agreements, each with a notional value of $250 million. Each of these swap agreements is with a different financial institution, and each swap requires the Company to pay a fixed interest rate of 3.435% in exchange for receiving one-month LIBOR for six months and one-month Term SOFR afterwards.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had borrowings outstanding under our Term Loan with book values of $1,831.2 million and $1,843.8 million at December 31, 2022 and December 31, 2021, respectively, which were subject to a weighted average interest rate of 4.440% and 2.850% for the years ended December 31, 2022 and 2021, respectively. There were no borrowings against our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Credit Facility at December 31, 2022 or December 31, 2021. The Notes bear interest at a fixed rate of 4.250% per annum and accordingly do not vary with prevailing interest rates.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hypothetical 100 basis point increase or decrease in weighted average interest rates under our Term Loan and Revolving Credit Facility would have increased or decreased our interest expense by $13.7 million and $24.9 million for the years ended December 31, 2022 and 2021, respectively, prior to consideration of the impact the hypothetical basis point change would have had on our interest rate swap agreements.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Credit Facilities will generally fluctuate with movements of interest rates, increasing in periods of declining rates of interest and declining in periods of increasing rates of interest. The Company is unable to estimate the impact on the fair value of the Company’s debt of a hypothetical 100 basis point increase or decrease in weighted average interest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had cash and cash equivalents including restricted cash and cash equivalents totaling $770.4 million and $1,019.0 million as of December 31, 2022 and December 31, 2021, respectively. We also had short-term bank deposits of $100.1 million as of December 31, 2021. Our investment policy and strategy primarily attempts to preserve capital and meet liquidity requirements without significantly increasing risk. Our cash and cash equivalents and short-term bank deposits primarily consist of commercial papers, bank deposits and money market funds. We do not enter into investments for trading or speculative purposes. Due to the short-term nature of these instruments, a hypothetical 100 bps increase in interest rates would not have a material impact on their fair value as of December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Israeli Shekels (“ILS”). We also have foreign currency risks related to our revenues and operating expenses denominated in currencies other than the U.S. Dollar, including the Australian Dollar, Canadian Dollar, British Pound, Euro, Polish Zloty (“PLN”) and Romanian Leu (“RON”).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had entered into derivative contracts to purchase certain foreign currencies, including ILS, RON and PLN, at future 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approximate amount of hedges was equal to $187.4 million, and all contracts are expected to mature during the upcoming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SUPPLEMENTAL DATA</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PLAYTIKA HOLDING CORP.</w:t>
      </w:r>
    </w:p>
    <w:p>
      <w:pPr>
        <w:spacing w:after="0" w:line="31"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175895</wp:posOffset>
            </wp:positionV>
            <wp:extent cx="7071995"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71995" cy="179705"/>
                    </a:xfrm>
                    <a:prstGeom prst="rect">
                      <a:avLst/>
                    </a:prstGeom>
                    <a:noFill/>
                  </pic:spPr>
                </pic:pic>
              </a:graphicData>
            </a:graphic>
          </wp:anchor>
        </w:drawing>
      </w:r>
    </w:p>
    <w:p>
      <w:pPr>
        <w:spacing w:after="0" w:line="279" w:lineRule="exact"/>
        <w:rPr>
          <w:sz w:val="20"/>
          <w:szCs w:val="20"/>
          <w:color w:val="auto"/>
        </w:rPr>
      </w:pPr>
    </w:p>
    <w:p>
      <w:pPr>
        <w:ind w:left="80"/>
        <w:spacing w:after="0"/>
        <w:tabs>
          <w:tab w:leader="none" w:pos="5620" w:val="left"/>
        </w:tabs>
        <w:rPr>
          <w:sz w:val="20"/>
          <w:szCs w:val="20"/>
          <w:color w:val="auto"/>
        </w:rPr>
      </w:pPr>
      <w:r>
        <w:rPr>
          <w:rFonts w:ascii="Times New Roman" w:cs="Times New Roman" w:eastAsia="Times New Roman" w:hAnsi="Times New Roman"/>
          <w:sz w:val="18"/>
          <w:szCs w:val="18"/>
          <w:u w:val="single" w:color="auto"/>
          <w:color w:val="0000FF"/>
        </w:rPr>
        <w:t>Reports of Independent Registered Public Accounting Firm</w:t>
      </w:r>
      <w:r>
        <w:rPr>
          <w:sz w:val="20"/>
          <w:szCs w:val="20"/>
          <w:color w:val="auto"/>
        </w:rPr>
        <w:tab/>
      </w:r>
      <w:r>
        <w:rPr>
          <w:rFonts w:ascii="Times New Roman" w:cs="Times New Roman" w:eastAsia="Times New Roman" w:hAnsi="Times New Roman"/>
          <w:sz w:val="17"/>
          <w:szCs w:val="17"/>
          <w:color w:val="auto"/>
        </w:rPr>
        <w:t>(PCAOB ID# 1281)</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071995"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92-131</w:t>
      </w:r>
    </w:p>
    <w:p>
      <w:pPr>
        <w:sectPr>
          <w:pgSz w:w="11900" w:h="16838" w:orient="portrait"/>
          <w:cols w:equalWidth="0" w:num="2">
            <w:col w:w="9480" w:space="720"/>
            <w:col w:w="520"/>
          </w:cols>
          <w:pgMar w:left="320" w:top="1413" w:right="859" w:bottom="1440" w:gutter="0" w:footer="0" w:header="0"/>
        </w:sectPr>
      </w:pPr>
    </w:p>
    <w:bookmarkStart w:id="82" w:name="page83"/>
    <w:bookmarkEnd w:id="82"/>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PLAYTIKA HOLDING CORP.</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333333"/>
        </w:rPr>
        <w:t>We have audited the accompanying consolidated balance sheets of Playtika Holding Corp. (the Company) as of December 31, 2022 and 2021, the related consolidated statements of comprehensive income,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Times New Roman" w:cs="Times New Roman" w:eastAsia="Times New Roman" w:hAnsi="Times New Roman"/>
          <w:sz w:val="18"/>
          <w:szCs w:val="18"/>
          <w:color w:val="000000"/>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right="180"/>
        <w:spacing w:after="0" w:line="26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 of Reworks Asset Group</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identifiable intangible assets that are subject to amortization are assessed for recoverability whenever events or changes in circumstances indicate that the carrying amount of the assets may not be recoverable. The Company identified triggering event and performed an impairment assessment with respect to Reworks asset group. The Company's evaluation of Reworks assets for potential impairment is measured at the asset group level by comparing the undiscounted projected future cash flows to the carrying amount of the asset group.</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Company’s impairment test for identifiable intangible assets that are subject to amortization was complex and highly judgmental due to the significant estimation in management’s assumptions to calculate the undiscounted projected future cash flows of the assets group.</w:t>
      </w:r>
    </w:p>
    <w:p>
      <w:pPr>
        <w:spacing w:after="0" w:line="1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impairment assessment for Reworks asset group.</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test the Company’s impairment assessment for Reworks asset group, we performed audit procedures that included, among others, testing the significant assumptions, including the completeness and accuracy of the underlying data used by management in its analyses. We compared the significant assumptions used by management to current industry and economic trends and historical financial results. We involved our valuation specialists in evaluating the appropriateness of the undiscounted projected future cash flows of the assets group including evaluation of the terminal growth rate and performed sensitivity analyses related to significant assumptions.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evaluated the Company’s disclosures included in Note 1 to the consolidated financial statements.</w:t>
      </w:r>
    </w:p>
    <w:p>
      <w:pPr>
        <w:spacing w:after="0" w:line="200" w:lineRule="exact"/>
        <w:rPr>
          <w:sz w:val="20"/>
          <w:szCs w:val="20"/>
          <w:color w:val="auto"/>
        </w:rPr>
      </w:pPr>
    </w:p>
    <w:p>
      <w:pPr>
        <w:sectPr>
          <w:pgSz w:w="11900" w:h="16838" w:orient="portrait"/>
          <w:cols w:equalWidth="0" w:num="2">
            <w:col w:w="1860" w:space="420"/>
            <w:col w:w="8940"/>
          </w:cols>
          <w:pgMar w:left="320" w:top="1440"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PLAYTIKA HOLDING CORP.</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Internal Control Over Financial Reporting</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333333"/>
        </w:rPr>
        <w:t xml:space="preserve">We have audited Playtika Holding Corp.'s internal control over financial reporting as of December 31, 2022, based on criteria established in the Internal Control—Integrated Framework issued by the Committee of Sponsoring Organizations of the Treadway Commission </w:t>
      </w:r>
      <w:r>
        <w:rPr>
          <w:rFonts w:ascii="Times New Roman" w:cs="Times New Roman" w:eastAsia="Times New Roman" w:hAnsi="Times New Roman"/>
          <w:sz w:val="18"/>
          <w:szCs w:val="18"/>
          <w:color w:val="000000"/>
        </w:rPr>
        <w:t>(2013 framework)</w:t>
      </w:r>
      <w:r>
        <w:rPr>
          <w:rFonts w:ascii="Times New Roman" w:cs="Times New Roman" w:eastAsia="Times New Roman" w:hAnsi="Times New Roman"/>
          <w:sz w:val="18"/>
          <w:szCs w:val="18"/>
          <w:color w:val="333333"/>
        </w:rPr>
        <w:t xml:space="preserve"> (the COSO criteria). In our opinion, Playtika Holding Corp. (the Company) maintained, in all material respects, effective internal control over financial reporting as of December 31, 2022, based on the COSO criteria.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consolidated balance sheets of the Company as of December 31, 2022 and 2021, the related consolidated statements of comprehensive income, stockholders’ equity (deficit) and cash flows for each of the three years in the period ended December 31, 2022, and the related notes and our report dated February 28,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Short-term bank deposits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Restricted cash</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Total current assets</w:t>
      </w:r>
    </w:p>
    <w:p>
      <w:pPr>
        <w:spacing w:after="0" w:line="61" w:lineRule="exact"/>
        <w:rPr>
          <w:sz w:val="20"/>
          <w:szCs w:val="20"/>
          <w:color w:val="auto"/>
        </w:rPr>
      </w:pPr>
    </w:p>
    <w:p>
      <w:pPr>
        <w:ind w:left="20" w:right="660"/>
        <w:spacing w:after="0" w:line="339" w:lineRule="auto"/>
        <w:rPr>
          <w:sz w:val="20"/>
          <w:szCs w:val="20"/>
          <w:color w:val="auto"/>
        </w:rPr>
      </w:pPr>
      <w:r>
        <w:rPr>
          <w:rFonts w:ascii="Times New Roman" w:cs="Times New Roman" w:eastAsia="Times New Roman" w:hAnsi="Times New Roman"/>
          <w:sz w:val="16"/>
          <w:szCs w:val="16"/>
          <w:color w:val="auto"/>
        </w:rPr>
        <w:t>Property and equipment, net Operating lease right-of-use assets Intangible assets other than goodwill, net Goodwill</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tax assets, net</w:t>
      </w:r>
    </w:p>
    <w:p>
      <w:pPr>
        <w:spacing w:after="0" w:line="59" w:lineRule="exact"/>
        <w:rPr>
          <w:sz w:val="20"/>
          <w:szCs w:val="20"/>
          <w:color w:val="auto"/>
        </w:rPr>
      </w:pPr>
    </w:p>
    <w:p>
      <w:pPr>
        <w:ind w:left="20" w:right="900"/>
        <w:spacing w:after="0" w:line="324" w:lineRule="auto"/>
        <w:rPr>
          <w:sz w:val="20"/>
          <w:szCs w:val="20"/>
          <w:color w:val="auto"/>
        </w:rPr>
      </w:pPr>
      <w:r>
        <w:rPr>
          <w:rFonts w:ascii="Times New Roman" w:cs="Times New Roman" w:eastAsia="Times New Roman" w:hAnsi="Times New Roman"/>
          <w:sz w:val="16"/>
          <w:szCs w:val="16"/>
          <w:color w:val="auto"/>
        </w:rPr>
        <w:t>Investment in unconsolidated entities Other non-current assets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43"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7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4140" w:type="dxa"/>
        <w:tblCellMar>
          <w:top w:w="0" w:type="dxa"/>
          <w:left w:w="0" w:type="dxa"/>
          <w:bottom w:w="0" w:type="dxa"/>
          <w:right w:w="0" w:type="dxa"/>
        </w:tblCellMar>
      </w:tblPr>
      <w:tr>
        <w:trPr>
          <w:trHeight w:val="214"/>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705"/>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768.7</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1,017.0</w:t>
            </w:r>
          </w:p>
        </w:tc>
      </w:tr>
      <w:tr>
        <w:trPr>
          <w:trHeight w:val="243"/>
        </w:trPr>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46"/>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20"/>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1,335.7</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46"/>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2,803.3</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-2493645</wp:posOffset>
            </wp:positionV>
            <wp:extent cx="711517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-2185670</wp:posOffset>
            </wp:positionV>
            <wp:extent cx="711517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-1877060</wp:posOffset>
            </wp:positionV>
            <wp:extent cx="711517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-1568450</wp:posOffset>
            </wp:positionV>
            <wp:extent cx="711517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-1259840</wp:posOffset>
            </wp:positionV>
            <wp:extent cx="711517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-951230</wp:posOffset>
            </wp:positionV>
            <wp:extent cx="711517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-642620</wp:posOffset>
            </wp:positionV>
            <wp:extent cx="711517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-334010</wp:posOffset>
            </wp:positionV>
            <wp:extent cx="711517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-16510</wp:posOffset>
            </wp:positionV>
            <wp:extent cx="711517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60"/>
          </w:cols>
          <w:pgMar w:left="320" w:top="1413" w:right="35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1517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46"/>
        </w:trPr>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40"/>
        </w:trPr>
        <w:tc>
          <w:tcPr>
            <w:tcW w:w="8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46"/>
        </w:trPr>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r>
      <w:tr>
        <w:trPr>
          <w:trHeight w:val="220"/>
        </w:trPr>
        <w:tc>
          <w:tcPr>
            <w:tcW w:w="82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24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2,422.9</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4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4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including employee related benefits</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long-term</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4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20"/>
        </w:trPr>
        <w:tc>
          <w:tcPr>
            <w:tcW w:w="8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3,181.0</w:t>
            </w:r>
          </w:p>
        </w:tc>
      </w:tr>
      <w:tr>
        <w:trPr>
          <w:trHeight w:val="19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16)</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1"/>
        </w:trPr>
        <w:tc>
          <w:tcPr>
            <w:tcW w:w="8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of US $0.01 par value: 1,600.0 shares authorized; 363.6 and 411.1 shares issued and outstanding at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43"/>
        </w:trPr>
        <w:tc>
          <w:tcPr>
            <w:tcW w:w="8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December 31, 2022 and 2021, respectively</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40"/>
        </w:trPr>
        <w:tc>
          <w:tcPr>
            <w:tcW w:w="8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Treasury stock at cost (51.8 shares at December 31, 2022)</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r>
      <w:tr>
        <w:trPr>
          <w:trHeight w:val="240"/>
        </w:trPr>
        <w:tc>
          <w:tcPr>
            <w:tcW w:w="8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6"/>
        </w:trPr>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(1,417.9)</w:t>
            </w:r>
          </w:p>
        </w:tc>
      </w:tr>
      <w:tr>
        <w:trPr>
          <w:trHeight w:val="220"/>
        </w:trPr>
        <w:tc>
          <w:tcPr>
            <w:tcW w:w="8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(377.7)</w:t>
            </w:r>
          </w:p>
        </w:tc>
      </w:tr>
      <w:tr>
        <w:trPr>
          <w:trHeight w:val="23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41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and other,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 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Weighted-average shares used in computing net income per share attributable to</w:t>
            </w:r>
          </w:p>
        </w:tc>
        <w:tc>
          <w:tcPr>
            <w:tcW w:w="3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stockholders, basic</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 attributable to</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16"/>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stockholders, diluted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2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
                <w:szCs w:val="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(1,615.5)</w:t>
            </w:r>
          </w:p>
        </w:tc>
        <w:tc>
          <w:tcPr>
            <w:tcW w:w="0" w:type="dxa"/>
            <w:vAlign w:val="bottom"/>
          </w:tcPr>
          <w:p>
            <w:pPr>
              <w:spacing w:after="0"/>
              <w:rPr>
                <w:sz w:val="1"/>
                <w:szCs w:val="1"/>
                <w:color w:val="auto"/>
              </w:rPr>
            </w:pPr>
          </w:p>
        </w:tc>
      </w:tr>
      <w:tr>
        <w:trPr>
          <w:trHeight w:val="195"/>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0" w:type="dxa"/>
            <w:vAlign w:val="bottom"/>
          </w:tcPr>
          <w:p>
            <w:pPr>
              <w:spacing w:after="0"/>
              <w:rPr>
                <w:sz w:val="1"/>
                <w:szCs w:val="1"/>
                <w:color w:val="auto"/>
              </w:rPr>
            </w:pPr>
          </w:p>
        </w:tc>
      </w:tr>
      <w:tr>
        <w:trPr>
          <w:trHeight w:val="195"/>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upon vesting of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Income tax withholding related to vesting</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of restricted stock units and other</w:t>
            </w:r>
          </w:p>
        </w:tc>
        <w:tc>
          <w:tcPr>
            <w:tcW w:w="11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(1,243.5)</w:t>
            </w:r>
          </w:p>
        </w:tc>
        <w:tc>
          <w:tcPr>
            <w:tcW w:w="0" w:type="dxa"/>
            <w:vAlign w:val="bottom"/>
          </w:tcPr>
          <w:p>
            <w:pPr>
              <w:spacing w:after="0"/>
              <w:rPr>
                <w:sz w:val="1"/>
                <w:szCs w:val="1"/>
                <w:color w:val="auto"/>
              </w:rPr>
            </w:pPr>
          </w:p>
        </w:tc>
      </w:tr>
      <w:tr>
        <w:trPr>
          <w:trHeight w:val="195"/>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Issuance of common stock in the IPO, net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ind w:left="440"/>
              <w:spacing w:after="0" w:line="145" w:lineRule="exact"/>
              <w:rPr>
                <w:sz w:val="20"/>
                <w:szCs w:val="20"/>
                <w:color w:val="auto"/>
              </w:rPr>
            </w:pPr>
            <w:r>
              <w:rPr>
                <w:rFonts w:ascii="Times New Roman" w:cs="Times New Roman" w:eastAsia="Times New Roman" w:hAnsi="Times New Roman"/>
                <w:sz w:val="14"/>
                <w:szCs w:val="14"/>
                <w:color w:val="auto"/>
              </w:rPr>
              <w:t>of underwriting commission and</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offering costs</w:t>
            </w: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shares upon vesting of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195"/>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0" w:type="dxa"/>
            <w:vAlign w:val="bottom"/>
          </w:tcPr>
          <w:p>
            <w:pPr>
              <w:spacing w:after="0"/>
              <w:rPr>
                <w:sz w:val="1"/>
                <w:szCs w:val="1"/>
                <w:color w:val="auto"/>
              </w:rPr>
            </w:pPr>
          </w:p>
        </w:tc>
      </w:tr>
      <w:tr>
        <w:trPr>
          <w:trHeight w:val="195"/>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shares upon vesting of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7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Income tax withholding related to vesting</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3"/>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restricted stock units and other</w:t>
            </w: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w:t>
      </w:r>
    </w:p>
    <w:p>
      <w:pPr>
        <w:spacing w:after="0" w:line="24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Represents an amount less than 0.1 or $0.1</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11"/>
        </w:trPr>
        <w:tc>
          <w:tcPr>
            <w:tcW w:w="66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 in deferred taxes, net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Amortization and write-off of loan discount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Capital gain from sale of investment</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Loss (gain) from foreign currency</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Non-cash lease expenses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6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3"/>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66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Accrued expenses and other current and non-current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07"/>
        </w:trPr>
        <w:tc>
          <w:tcPr>
            <w:tcW w:w="6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Capitalization of internal use software costs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software for internal use</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Payments for business combination, net of cash acquired</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short-term bank deposits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Investment in short-term bank deposits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bank borrowings, net</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Repayments on bank borrowings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unsecured notes, net</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Borrowings under revolving credit facility</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 of term loan and revolving credit facility</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(408.3)</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 for tender offer</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 of tax withholdings on stock-based payments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cash out flow for business acquisitions and other</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7"/>
        </w:trPr>
        <w:tc>
          <w:tcPr>
            <w:tcW w:w="668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4"/>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beginning of the period</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1,019.0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r>
      <w:tr>
        <w:trPr>
          <w:trHeight w:val="211"/>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w:t>
            </w:r>
          </w:p>
        </w:tc>
      </w:tr>
      <w:tr>
        <w:trPr>
          <w:trHeight w:val="20"/>
        </w:trPr>
        <w:tc>
          <w:tcPr>
            <w:tcW w:w="6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20" w:type="dxa"/>
            <w:vAlign w:val="bottom"/>
            <w:tcBorders>
              <w:bottom w:val="single" w:sz="8" w:color="auto"/>
            </w:tcBorders>
          </w:tcPr>
          <w:p>
            <w:pPr>
              <w:spacing w:after="0"/>
              <w:rPr>
                <w:sz w:val="18"/>
                <w:szCs w:val="18"/>
                <w:color w:val="auto"/>
              </w:rPr>
            </w:pPr>
          </w:p>
        </w:tc>
      </w:tr>
      <w:tr>
        <w:trPr>
          <w:trHeight w:val="211"/>
        </w:trPr>
        <w:tc>
          <w:tcPr>
            <w:tcW w:w="66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received for interest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and investing activities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Right-of-use assets from operating leases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Capitalization of stock-based compensation costs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Contingent consideration related to business acquisition</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offering costs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specified otherwise)</w:t>
      </w:r>
    </w:p>
    <w:p>
      <w:pPr>
        <w:spacing w:after="0" w:line="2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organization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Playtika Holding Corp.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to drive user engagement and monetization. As of December 31, 2022, the Company had operations in Argentina, Australia, Austria, Belarus, Finland, Germany, India, Israel, Poland, Romania, Switzerland, Ukraine, the United Kingdom and the United States.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are generally accounted for at cost minus impairment, if any, plus or minus changes resulting from observable price changes in orderly transactions for the identical or a similar investment of the same issuer. In the opinion of management, all adjustments considered necessary for a fair presentation have been recorded within the accompanying financial statements, consisting of normal, recurring adjustments, and all intercompany balances and transactions have been eliminated in the consolidation.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 of period correction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Company’s review of its uncertain tax positions, the Company noted that it had improperly netted uncertain tax benefits in certain jurisdictions with uncertain tax liabilities in other jurisdictions. The improper netting of unrecognized tax liabilities and unrecognized tax assets resulted in the Company not properly evaluating its unrecognized tax assets, particularly in instances where evaluating on a gross-balance basis would have resulted in an increase to the net unrecognized tax assets. The Company further noted that its uncertain tax benefit calculated for one of its uncertain tax positions in the United States did not properly consider the provisions of the global intangible low-tax income (“GILTI”) rules. The Company has recorded tax benefit of $1.4 million for the year ending December 31, 2022 that, had it been booked properly, would have been recorded in prior periods. In addition, unrecognized tax assets and tax liabilities are presented on a long-term gross balance basis as of December 31, 2022. As the balance sheet as of December 31, 2021 continues to present such balances on a current net-balance basis, such amounts are not comparable. See </w:t>
      </w:r>
      <w:r>
        <w:rPr>
          <w:rFonts w:ascii="Times New Roman" w:cs="Times New Roman" w:eastAsia="Times New Roman" w:hAnsi="Times New Roman"/>
          <w:sz w:val="18"/>
          <w:szCs w:val="18"/>
          <w:i w:val="1"/>
          <w:iCs w:val="1"/>
          <w:color w:val="auto"/>
        </w:rPr>
        <w:t>Note 21, Income Taxes</w:t>
      </w:r>
      <w:r>
        <w:rPr>
          <w:rFonts w:ascii="Times New Roman" w:cs="Times New Roman" w:eastAsia="Times New Roman" w:hAnsi="Times New Roman"/>
          <w:sz w:val="18"/>
          <w:szCs w:val="18"/>
          <w:color w:val="auto"/>
        </w:rPr>
        <w:t xml:space="preserve"> for further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determined that these errors were not material to any of its previously issued financial statements, individually or in the aggregate.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unconsolidated entities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holds certain equity investments in various unconsolidated entities that, based upon the structure of the investment, are not within the scope of equity method investment accounting that would lead to the consolidation conclusions above. Instead, these investments fall within the scope of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 permitted within that guidance, the Company has elected to account for these investments at cost less impairment, adjusted for changes in fair value from observable transactions for identical or similar investments of the same issuer as of the respective transaction dates. No change to the carrying amounts were recorded in the years ended December 31,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revenues and expenses during the reporting period. Actual results could differ from those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United States dollars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Playtika and certain subsidiaries are conducted is the U.S. dollar ("dollar"); thus, the dollar is the functional currency of Playtika and certain subsidiaries.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Playtika and certain subsidiaries' transactions and balances denominated in dollars are presented at their original amounts. Non-dollar transactions and balances have been remeasured to dollars in accordance with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All transaction gains and losses from remeasurement of monetary balance sheet items denominated in non-dollar currencies are reflected in the statements of comprehensive income as financial income or expenses, as appropriate.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those consolidated subsidiaries whose functional currency has been determined to be a non-dollar currency, assets and liabilities are translated at year-end exchange rates and statement of income items are translated at average exchange rates prevailing during the year. Such translation adjustments are recorded as a separate component of accumulated other comprehensive income in stockholders' equity (deficit).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primarily of cash and cash equivalents, short-term bank deposits, restricted cash, accounts receivable and derivative contracts. The Company’s investment policy imposes certain maturity limits on the Company’s portfolio and restricts the permitted investments to the purchase of bank deposits and highly rated fixed income securities.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 Facebook and Google are significant distribution, marketing, promotion and payment platforms for the Company's games. A significant portion of the Company’s revenues has been generated from players who accessed the Company's games through these platforms. Therefore, the Company's accounts receivable are derived mainly from sales through these three platforms. The Company performs ongoing credit evaluations of its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accounts receivable of the Company as a percentage of the total accounts receivable as of the dates indicated:</w:t>
      </w:r>
    </w:p>
    <w:p>
      <w:pPr>
        <w:spacing w:after="0" w:line="46"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500" w:type="dxa"/>
            <w:vAlign w:val="bottom"/>
          </w:tcPr>
          <w:p>
            <w:pPr>
              <w:spacing w:after="0"/>
              <w:rPr>
                <w:sz w:val="19"/>
                <w:szCs w:val="19"/>
                <w:color w:val="auto"/>
              </w:rPr>
            </w:pPr>
          </w:p>
        </w:tc>
        <w:tc>
          <w:tcPr>
            <w:tcW w:w="8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9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75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w:t>
            </w:r>
          </w:p>
        </w:tc>
        <w:tc>
          <w:tcPr>
            <w:tcW w:w="8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43</w:t>
            </w:r>
          </w:p>
        </w:tc>
        <w:tc>
          <w:tcPr>
            <w:tcW w:w="19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42</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Google</w:t>
            </w:r>
          </w:p>
        </w:tc>
        <w:tc>
          <w:tcPr>
            <w:tcW w:w="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35</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34</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Facebook</w:t>
            </w:r>
          </w:p>
        </w:tc>
        <w:tc>
          <w:tcPr>
            <w:tcW w:w="8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88"/>
              </w:rPr>
              <w:t>7</w:t>
            </w:r>
          </w:p>
        </w:tc>
        <w:tc>
          <w:tcPr>
            <w:tcW w:w="190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88"/>
              </w:rPr>
              <w:t>8</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recorded at their transaction amounts and do not bear interest. The Company bases its allowance for doubtful accounts on management's best estimate of the amount of probable credit losses in the Company's existing accounts receivable based on historical collection experience and current and expected future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Short-term bank deposits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classifies its debt securities as available-for-sale (“AFS”). AFS debt securities are carried at fair value, with unrealized gains and losses, net of tax, reported in accumulated other comprehensive income (loss) in stockholders’ equity. Realized gains and losses on sale of investments are included in Interest and other, net on the statements of comprehensive income and are derived using the specific identification method for determining the cost of securities sold. The amortized cost of debt securities is adjusted for amortization of premiums and accretion of discounts to maturity. Such amortization together with interest on securities is included in Interest and other, net.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maturities of three months or less from the date of purchase and are stated at the lower of cost or market value. Cash equivalents include investments in term deposits, commercial papers and money market funds that can be redeemed immediately at the current net asset value.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with maturities of more than three months but less than one year are included in short-term bank deposits. Such short-term bank deposits are stated at cost which approximates fair market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deposits to secure obligations under the Company's operating lease agreements and to secure company-issued credit cards.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states property and equipment at cost. The Company computes depreciation using the straight-line method over the estimated useful lives of the respective assets or, in the case of leasehold improvements, the lease term of the respective assets, whichever is shorter. The Company examines fully depreciated assets annually and writes off those no longer in use.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depreciation periods for the Company's property and equipment are as follows:</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580" w:type="dxa"/>
            <w:vAlign w:val="bottom"/>
            <w:tcBorders>
              <w:bottom w:val="single" w:sz="8" w:color="CCEEFF"/>
            </w:tcBorders>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to 14 years</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aircraft</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176"/>
        </w:trPr>
        <w:tc>
          <w:tcPr>
            <w:tcW w:w="6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Leasehold improvements</w:t>
            </w:r>
          </w:p>
        </w:tc>
        <w:tc>
          <w:tcPr>
            <w:tcW w:w="3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Shorter of the estimated useful life or</w:t>
            </w:r>
          </w:p>
        </w:tc>
      </w:tr>
      <w:tr>
        <w:trPr>
          <w:trHeight w:val="234"/>
        </w:trPr>
        <w:tc>
          <w:tcPr>
            <w:tcW w:w="658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remaining term of lease</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internal use software development cost associated with infrastructure and new games or significant updates to existing games to determine if the costs qualify for capitalizing. The development costs incurred during the application development stage that are related to infrastructure are capitalized. Internal use software is included in intangible assets other than goodwill, net in the accompanying consolidated balance sheets. Capitalization of such costs begins when the preliminary project stage is completed and ceases at the point in which the project is substantially complete and is ready for its intended purpose. With respect to new games or updates to existing games, the preliminary project stage remains ongoing until just prior to worldwide launch. The development costs of new games or updates to existing games are expensed as incurred to research and development in the consolidated statements of comprehensive income.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internal use software costs were approximately $32.1 million, $35.5 million and $33.3 million during the years ending December 31, 2022, 2021 and 2020, respectively. The estimated useful life of costs capitalized is generally three years. During the years ended December 31, 2022, 2021 and 2020, the amortization of capitalized software costs totaled approximately $25.0 million, $21.8 million and $8.9 million, respectively.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805,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and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management makes significant estimates and assumptions, especially with respect to intangible assets.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estimates in valuing certain intangible assets include, but are not limited to future expected cash flows from acquired technology and acquired trademarks and user base from a market participant perspective, useful lives and discount rates. Management's estimates of fair value are based upon assumptions believed to be reasonable, but which are inherently uncertain and unpredictable.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in a business combination over the fair value of the net tangible and intangible assets acquired. Under ASC 350, </w:t>
      </w:r>
      <w:r>
        <w:rPr>
          <w:rFonts w:ascii="Times New Roman" w:cs="Times New Roman" w:eastAsia="Times New Roman" w:hAnsi="Times New Roman"/>
          <w:sz w:val="18"/>
          <w:szCs w:val="18"/>
          <w:i w:val="1"/>
          <w:iCs w:val="1"/>
          <w:color w:val="auto"/>
        </w:rPr>
        <w:t>Intangible - Goodwill and Other</w:t>
      </w:r>
      <w:r>
        <w:rPr>
          <w:rFonts w:ascii="Times New Roman" w:cs="Times New Roman" w:eastAsia="Times New Roman" w:hAnsi="Times New Roman"/>
          <w:sz w:val="18"/>
          <w:szCs w:val="18"/>
          <w:color w:val="auto"/>
        </w:rPr>
        <w:t xml:space="preserve"> ("ASC 350"), goodwill is not amortized, but rather is subject to an annual impairment test.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tests goodwill for impairment as of October 1st of each year, or more frequently if events or changes in circumstances indicate that this asset may be impaired. For the purposes of impairment testing, the Company has determined that it has one reporting unit. When performing the annual goodwill impairment testing, the Company either conducts a qualitative assessment to determine whether it is more likely than not that the asset is impaired, or elects to bypass this qualitative assessment and perform a quantitative test for impairment. Under the qualitative assessment, the Company considers both positive and negative factors, including macroeconomic conditions, industry events, financial performance and other changes, and makes a determination of whether it is more likely than not that the fair value of goodwill is less than its carrying amount. If, after assessing the qualitative factors, the Company determines it is more likely than not the asset is impaired, it then performs a quantitative test in which the estimated fair value of the reporting unit is compared with its carrying amount, including goodwill. If the carrying amount of the reporting unit exceeds its estimated fair value, an impairment loss is recognized in an amount equal to the excess, limited to the amount of goodwill allocated to the reporting unit.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other than goodwill, net</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using the straight-line method, using the following ranges of useful lives: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bottom w:val="single" w:sz="8" w:color="CCEEFF"/>
            </w:tcBorders>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games and acquired technology</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to 10 years</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user base</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to 5 years</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long-lived assets to be held or used, including right-of-use (“ROU”) assets, and identifiable intangible assets that are subject to amortization are tested for impairment whenever events or changes in circumstances indicate that the carrying amount of an asset may not be recoverable, in accordance with ASC 360,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xml:space="preserve"> Impairment indicators include any significant changes in the manner of the Company’s use of the assets and significant negative industry or economic trends. The Company recognizes impairment based on the difference between the fair value of the asset and its carrying value. Fair value is generally measured based on either quoted market prices, if available, or a discounted cash flow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determination that the carrying value of a long-lived asset may not be recoverable based upon a comparison of aggregate undiscounted projected future cash flows to the carrying amount of the asset, an impairment charge is recorded for the excess of the carrying amount over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is the lessee under non-cancelable office real estate and data center leases. The Company accounts for its leases under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Operating lease ROU assets and liabilities are recognized at the commencement date and initially measured based on the present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lease payments and lease incentives received over the defined lease term. The Company’s lease terms may include options to extend or terminate the lease. The Company assesses these options using a threshold of reasonably certain. For leases the Company is reasonably certain to renew, those option periods are included within the lease term and, therefore, the measurement of the right-of-use asset and lease liability. Lease expense for lease payments is recognized on a straight-line basis over the lease term. The Company’s real estate lease agreements and data center leases do not contain any material residual value guarantees, restrictions or covenants. The Company’s lease agreements with lease and non-lease components are accounted for separately.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incremental borrowing rate is estimated based upon the capital structure of the Company and upon the other information available at the lease commencement date in determining the present value of lease payments. The implicit rate will be used when readily determinable. The operating lease ROU assets also include any prepaid lease payments made and are net of lease incentives. The Company does not record an asset or liability for operating leases with a term of 12 months or less.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derives revenue from the sale of virtual items associated with online games. The Company distributes its games to the end customer through various web and mobile platforms such as Apple, Facebook, Google, and other web and mobile platforms. Through these platforms, users can download the Company’s free-to-play games and can purchase virtual currency which is redeemed in the game for virtual goods, or players can purchase virtual goods directly (collectively referred to as virtual items) to enhance their game-playing experience.</w:t>
      </w: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initial download of the games does not create a contract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however, the separate election by the player to make an in-application purchase satisfies the ASC 606 criterion for creating a contract.</w:t>
      </w:r>
    </w:p>
    <w:p>
      <w:pPr>
        <w:jc w:val="both"/>
        <w:spacing w:after="0" w:line="253" w:lineRule="auto"/>
        <w:rPr>
          <w:sz w:val="20"/>
          <w:szCs w:val="20"/>
          <w:color w:val="auto"/>
        </w:rPr>
      </w:pPr>
      <w:r>
        <w:rPr>
          <w:rFonts w:ascii="Times New Roman" w:cs="Times New Roman" w:eastAsia="Times New Roman" w:hAnsi="Times New Roman"/>
          <w:sz w:val="18"/>
          <w:szCs w:val="18"/>
          <w:color w:val="auto"/>
        </w:rPr>
        <w:t>Players can pay for their virtual item purchases through various widely accepted payment methods offered in the games. Payments from players for virtual items are required at the time of purchase, are non-refundable and relate to non-cancellable contracts that specify the Company’s obligations and cannot be redeemed for cash nor exchanged for anything other than virtual items within the Company’s games. The purchase price is a fixed amount which reflects the consideration that the Company expects to be entitled to receive in exchange for use of virtual items by its customers. The platform providers collect proceeds from the game players and remit the proceeds to the Company after deducting their respective platform fees.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primarily responsible for providing the virtual items, has control over the content and functionality of games and has the discretion to establish the virtual items’ prices. Therefore, the Company is the principal and, accordingly revenues are recorded on a gross basis. Payment processing fees paid to platform providers are recorded within cost of revenue. The Company’s performance obligation is to display the virtual items within the game over the estimated life of the paying player or until the virtual item is consumed in game play based upon the nature of the virtual item.</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categorizes its virtual items as either consumable or durable. The substantial majority of the Company’s games sell only consumable virtual items. Consumable virtual items represent items that can be consumed by a specific player action and do not provide the player any continuing benefit following consumption. For the sale of consumable virtual items, the Company recognizes revenue as the items are consumed which is usually over a period of time of up to one month. The Company has determined through a review of game play behavior that players generally do not purchase additional virtual currency until their existing virtual currency balances have been substantially consumed. This review, performed on a game-by-game basis, includes an analysis of game players’ historical play behavior, purchase behavior, and the amount of virtual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18"/>
          <w:szCs w:val="18"/>
          <w:color w:val="auto"/>
        </w:rPr>
        <w:t>currency outstanding. Based upon this analysis, the Company has estimated the rate at which virtual currency is consumed during game play. Accordingly, revenue is recognized using a user-based revenue model using these estimated consumption rates. The Company monitors its analysis of customer play behavior on a quarterly basis.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Durable virtual items represent items that are accessible to the player over an extended period of time. The Company recognizes revenue from the sale of durable virtual items ratably over the estimated average life of the paying player, which is estimated on a individual game basis and generally ranges from eleven to thirteen months. The Company estimates the average life of the paying player based on historical paying player patterns and playing behaviors within each of the specific games that offer durable virtual items. The Company monitors its operational data and player patterns and re-assesses its estimates on a quarterly basis.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which represent a contract liability, represent mostly unrecognized fees collected for virtual items which are not consumed at the balance sheets date, or for players that are still active in the games.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other taxes collected from customers on behalf of governmental authorities are accounted for on a net basis and are not included in revenues or operating expenses.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also has relationships with certain advertising service providers for advertisements within its games and revenue from these advertising providers is generated through impressions, clickthroughs, banner ads and offers. The Company has determined that displaying the advertisements within the mobile games is identified as a single performance obligation. The transaction price in advertising arrangements is established by our advertising service providers and is generally the product of the number of advertising units delivered (e.g. impressions, offers completed, etc.) and the contractually agreed upon price per unit. Revenue from advertisements and offers are recognized at a point-in-time when the advertisements are displayed in the game or the offer has been completed by the user as the customer simultaneously receives and consumes the benefits provided from these services. The Company has determined that it is generally acting as an agent in its advertising arrangements as the advertising service providers maintain the relationship with the customers, control the pricing of the advertising such that the Company does not know the total price paid by the customer to the service providers, and control the advertising product through the time the advertisements are displayed in our games. Therefore, the Company recognizes revenue related to these arrangements on a net basis.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for marketing and advertising of the Company’s games are primarily expensed as incurred and are included in the sales and marketing expenses in the Company’s consolidated statements of comprehensive income. Such costs primarily consist of player acquisition costs. Advertising expense was $464.6 million, $457.8 million and $408.5 million in the years ended December 31, 2022, 2021 and 2020,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stock-based compensation program which provides for equity awards including time-based stock options, restricted stock units (“RSUs”) and performance stock units (“PSUs”). Stock-based compensation expense is measured at the grant date, based on the estimated fair value of the award, and is recognized as expense on a straight-line basis over the requisite service period for options and RSUs and on an accelerated basis for PSUs. The Company records forfeitures as a reduction of stock-based compensation expense as those forfeitures occur.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and compensation cost associated with stock options. As it does not have a long history of market prices for its common stock because the stock was not publicly traded prior to January 2021, the Company used observable data for a group of peer companies that grant options with substantially similar terms to assist in developing its volatility assumptions. The expected volatility of the stock was determined using weighted average measures of the implied volatility and the historical volatility for the Company’s peer group of companies for a period equal to the expected life of the options. The weighted-average risk-free interest rates were based on the interest rates for U.S. Treasury bonds. The expected term assumptions were derived using the simplified method, which is based on an average between each vesting date and the expiration date of an option. This method was chosen because there was no historical option exercise experience due to the Company being privately held.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does not anticipate paying cash dividends on its shares of common stock in the future. The stock options have a contractual term of 10 years. Except as otherwise provided in an option agreement between the Company and the employee, if an employee is terminated (voluntarily or involuntarily), any unvested awards as of the date of termination will be forfeited.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factors change and the Company employs different assumptions, stock-based compensation cost on future awards may differ significantly from what the Company has recorded in the past. Higher volatility and longer expected terms result in an increase to stock-based compensation determined at the date of grant. Future stock-based compensation cost and unrecognized stock-based compensation will increase to the extent that the Company grants additional equity awards to employees or assumes unvested equity awards in connection with acquisitions. If there are any modifications or cancellations of the underlying unvested equity awards, the Company may be required to accelerate any remaining unearned stock-based compensation cost or incur incremental cost.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associated per-share value at the time of grant to determine the compensation cost to be recognized associated with RSUs and PSUs granted. The Company reviews the estimates of performance against the defined criteria to assess the expected payout of each outstanding PSU grant quarterly, or more frequently if events or changes in circumstances indicate there may be a change, and adjusts the stock compensation expense accordingly.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RSUs, shares are issued on the vesting dates net of the applicable statutory income tax withholding to be paid by the Company on behalf of its employees. As a result, fewer shares are generally issued than the number of RSUs outstanding, and the income tax withholding is recorded as a reduction to additional paid-in capital.</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Company’s stock-based compensation expense is recorded in the financial statement line item relevant to each of the award recipients. 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Transactions and Stock Incentive Plan, </w:t>
      </w:r>
      <w:r>
        <w:rPr>
          <w:rFonts w:ascii="Times New Roman" w:cs="Times New Roman" w:eastAsia="Times New Roman" w:hAnsi="Times New Roman"/>
          <w:sz w:val="18"/>
          <w:szCs w:val="18"/>
          <w:color w:val="auto"/>
        </w:rPr>
        <w:t>for additional discussion.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factors, assumptions, and methodologies used in estimating fair value of equity prior to the IPO</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Prior to its initial public offering of equity in January 2021, the Company, with the assistance of third-party valuation experts, used a combination of the income approach (the discounted cash flow method) and the market approach (a combination of the guideline public company method and the guideline transaction method) to estimate its equity value in connection with its stock-based compensation program discussed in </w:t>
      </w:r>
      <w:r>
        <w:rPr>
          <w:rFonts w:ascii="Times New Roman" w:cs="Times New Roman" w:eastAsia="Times New Roman" w:hAnsi="Times New Roman"/>
          <w:sz w:val="18"/>
          <w:szCs w:val="18"/>
          <w:i w:val="1"/>
          <w:iCs w:val="1"/>
          <w:color w:val="auto"/>
        </w:rPr>
        <w:t>Note 13, Equity Transactions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Incentive Plan</w:t>
      </w:r>
      <w:r>
        <w:rPr>
          <w:rFonts w:ascii="Times New Roman" w:cs="Times New Roman" w:eastAsia="Times New Roman" w:hAnsi="Times New Roman"/>
          <w:sz w:val="18"/>
          <w:szCs w:val="18"/>
          <w:color w:val="auto"/>
        </w:rPr>
        <w:t>. The income approach involves applying an appropriate risk-adjusted discount rate to projected cash flows based on forecasted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and costs. The guideline transaction method estimates the value of a company by applying valuation multiples paid in actual transactions for comparable public and private companies.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values derived under the market and income approaches were used to determine an initial estimated fair market value of the Company’s equity. The initial estimated value was then subjected to a discount for the lack of marketability based on the impediments to liquidity as a result of the Company’s previous status as a private company, including the lack of publicly available information and the lack of a trading market.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the Company’s initial public offering of equity in January 2021, the Company uses the public trading price of its common stock on the Nasdaq stock exchange as the basis for determining the fair market value for its common stock for purposes of its stock based compensation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inherent uncertainty in the Company’s forecasts and projections, and if different assumptions and estimates had been made than those described above, the amount of the equity valuation and stock-based compensation expense could have been materially different.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 and liability account balances are determined based on differences between financial reporting and tax bases of assets and liabilities and are measured using the enacted tax rates and laws that are expected to be in effect when the differences will reverse. The Company provides a valuation allowance, if necessary, to reduce deferred tax assets to the amount that is more likely than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to be realized. Deferred tax assets and deferred tax liabilities are presented under long-term assets and long-term liabilities, respectively.</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expiring unused and tax planning alternatives.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Cuts and Jobs Act (“TCJA”) subjects a U.S. shareholder to tax on global intangible low-taxed income (“GILTI”) earned by certain foreign subsidiaries. We can make an accounting policy election to either treat taxes due on the GILTI inclusion as a current period expense or factor such amounts into the measurement of deferred taxes. We elected to account for the income tax effects of GILTI as a “period cost,” or an income tax expense in the year the tax is incurred.</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classifies interest and penalties on income taxes (which includes uncertain tax positions) as taxes on income. See </w:t>
      </w:r>
      <w:r>
        <w:rPr>
          <w:rFonts w:ascii="Times New Roman" w:cs="Times New Roman" w:eastAsia="Times New Roman" w:hAnsi="Times New Roman"/>
          <w:sz w:val="18"/>
          <w:szCs w:val="18"/>
          <w:i w:val="1"/>
          <w:iCs w:val="1"/>
          <w:color w:val="auto"/>
        </w:rPr>
        <w:t>Note 21, Income Taxes,</w:t>
      </w:r>
      <w:r>
        <w:rPr>
          <w:rFonts w:ascii="Times New Roman" w:cs="Times New Roman" w:eastAsia="Times New Roman" w:hAnsi="Times New Roman"/>
          <w:sz w:val="18"/>
          <w:szCs w:val="18"/>
          <w:color w:val="auto"/>
        </w:rPr>
        <w:t xml:space="preserve"> for additional discussion.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related benefits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Appreciation and retention plan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2016, the Company adopted the Playtika Holding Corp. Retention Plan (the “2017-2020 Plan”). According to the 2017-2020 Plan, appreciation unit awards were granted to selected eligible employees. These units provided the right to receive cash payments for each of the years 2017 through 2020 as a percentage (between 1.5% - 2%) of the Company's estimated appreciation in value in excess of $4.4 billion. The value of each appreciation unit was calculated based on the Company's Retention Plan Adjusted EBITDA (as agreed in the 2017-2020 Plan) multiplied by an agreed multiplier.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annual retention bonus for each of the four years in the 2017-2020 Plan, in the amount of $25 million was distributed to selected eligible employees of the 2017-2020 Plan.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each unit of the 2017-2020 Plan was amortized into compensation expense using the graded-vesting method, which resulted in the recognition of compensation costs over the requisite service period for each separately vesting tranche of the units as though the units were, in substance, multiple units awards.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2019, the Company adopted the Playtika Holding Corp. Retention Plan (the “2021-2024 Retention Plan”) in order to retain key employees and reward them for contributing to the success of the Company. Under the 2021-2024 Retention Plan, eligible employees may be granted retention units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Retention Plan Adjusted EBITDA for each of the plan years as described further in </w:t>
      </w:r>
      <w:r>
        <w:rPr>
          <w:rFonts w:ascii="Times New Roman" w:cs="Times New Roman" w:eastAsia="Times New Roman" w:hAnsi="Times New Roman"/>
          <w:sz w:val="18"/>
          <w:szCs w:val="18"/>
          <w:i w:val="1"/>
          <w:iCs w:val="1"/>
          <w:color w:val="auto"/>
        </w:rPr>
        <w:t>Note 19, Appreciation and Retention Plans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value of each unit of the 2021-2024 Retention Plan is being amortized into compensation expense using the straight-line method, which will result in the recognition of compensation costs in the same years as the underlying EBITDA used in the plan measurement is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t>Severance pay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for the Company’s employees in Israel in respect of severance pay is calculated in accordance with Section 14 of the Severance Pay Law 5723-1963 ("Section 14"). Section 14 states that Company's contributions for severance pay shall be in lieu of severance compensation. Upon deposit of the related obligation for the employee under Section 14, no additional obligations shall be conducted between the parties regarding the matter of severance pay and no additional payments are required to be made by the Company to the employee.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resulting from contributions in accordance with Section 14 for the years ended December 31, 2022, 2021 and 2020 was $8.5 million, $7.1 million and $5.7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Exit or disposal activities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exit or disposal cost obligations, including restructuring activities, under ASC 420-10,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which requires that companies only record liabilities for such activities when such liabilities have been incurred. During the second quarter of 2022, the Company announced the closure of its Montreal, Los Angeles, Helsinki and London studios, along with limited other cost reduction activities. Severance payments associated with these closures are being recorded as liabilities and recognized as expense over the period such payments are earned.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2022, the Company reduced its workforce by approximately ten percent. Severance liabilities associated with this reduction in force were recorded as the reduction in force was completed.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severance expense for the year ended December 31, 2022, for both the site closures and the reduction in force totaled approximately $16.4 million, included within operating expenses on the consolidated statements of comprehensive income, of which $10.1 million is accrued in accrued expenses and other current liabilities at December 31, 2022.</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concluded that certain announced activities, including the above, were triggering events for potential impairment under ASC 360,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Plant, and Equipment</w:t>
      </w:r>
      <w:r>
        <w:rPr>
          <w:rFonts w:ascii="Times New Roman" w:cs="Times New Roman" w:eastAsia="Times New Roman" w:hAnsi="Times New Roman"/>
          <w:sz w:val="18"/>
          <w:szCs w:val="18"/>
          <w:color w:val="auto"/>
        </w:rPr>
        <w:t>, and therefore assessed the associated asset groups for impairment. Based upon this assessment, the Company determined that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was required. The recoverable amount for the Seriously Holding Corp. assets was significantly above the carrying value of the associated assets, while the recoverable amount for the Reworks Oy (“Reworks”) assets exceed the book value by a relatively small margin. Thus, to the extent the financial results at Reworks deteriorate further in the near future, discount rates increase significantly, or the Company does not meet its projected performance, the Company could have impairments to record in the next twelve months, and such impairments could be material.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interest rate swap contracts to reduce its exposure to fluctuating interest rates associated with the Company’s variable rate debt, and to effectively increase the portion of debt upon which the Company pays a fixed interest rate. The Company’s interest rate swap agreements are designated as cash flow hedges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involving the receipt of variable amounts from a counterparty in exchange for the Company making fixed-rate payments over the life of the agreement, without the exchange of the underlying notional amount. These hedges are highly effective in offsetting changes in the Company’s future expected cash flows due to the fluctuation of the USD benchmark rate associated with its variable rate debt.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monitors the effectiveness of its hedges on a quarterly basis, both qualitatively and quantitatively. The Company performed a regression analysis at inception of the hedging relationship and at period end in which it compared the change in the fair value of the swap transactions and the change in fair value of a hypothetical interest rate swap having terms that identically match the terms of the debt's interest rate payments based on at least 30 observations that are based on historical swap rates. Based on the regression results, the Company believes that, at inception and at period end, the hedging instrument is expected to be highly effective at offsetting changes in the hedged transactions attributable to the risk being hedged. For each future reporting period, the Company will continue performing retrospective and prospective assessments of hedge effectiveness in a single regression analysis by updating the regression analysis that was prepared at inception of the hedging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0" w:name="page101"/>
    <w:bookmarkEnd w:id="100"/>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foreign currency derivative contracts to reduce its exposure to fluctuating exchange rates between the United States dollar (as the Company’s functional currency) and certain expense lines denominated in Israeli Shekels (“ILS”), Polish Zloty (“PLN”) and Romanian Leu (“RON”). The Company’s derivative contracts are designated as cash flow hedges under ASC 815. The Company monitors the effectiveness of its hedges on a quarterly basis, both qualitatively and quantitatively, and expects these hedges to remain highly effective at offsetting fluctuations in exchange rates through their respective maturity dates. See </w:t>
      </w:r>
      <w:r>
        <w:rPr>
          <w:rFonts w:ascii="Times New Roman" w:cs="Times New Roman" w:eastAsia="Times New Roman" w:hAnsi="Times New Roman"/>
          <w:sz w:val="18"/>
          <w:szCs w:val="18"/>
          <w:i w:val="1"/>
          <w:iCs w:val="1"/>
          <w:color w:val="auto"/>
        </w:rPr>
        <w:t>Note 14, Derivative Instruments,</w:t>
      </w:r>
      <w:r>
        <w:rPr>
          <w:rFonts w:ascii="Times New Roman" w:cs="Times New Roman" w:eastAsia="Times New Roman" w:hAnsi="Times New Roman"/>
          <w:sz w:val="18"/>
          <w:szCs w:val="18"/>
          <w:color w:val="auto"/>
        </w:rPr>
        <w:t xml:space="preserve"> for additional discussion.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 The fair value approximates the amount the Company would pay or receive if these contracts were settled at the respective valuation dates. The inputs used to measure the fair value of the Company’s interest rate swap agreements are categorized as Level 2 in the fair value hierarchy as established by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(“ASC 820”). The inputs used to measure the fair value of the Company’s foreign currency derivative contracts are categorized as Level 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hierarchy as established by ASC 820.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fair value in accordance with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 tier hierarchy, which prioritizes the inputs used in measuring fair value as follows: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52"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two levels in the hierarchy are considered observable inputs and the last is considered unobservable. The carrying value of accounts receivable and payables and the Company's cash and cash equivalents, short-term bank deposits and restricted cash, approximates fair value due to the short time to expected payment or receipt of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 attributable to common stockholders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all periods presented herein, basic net income per share is calculated by dividing net income by the weighted-average common shares outstanding. Diluted net income per share reflects the effect of all potentially dilutive common shares outstanding by dividing net income by the weighted-average of all common and potentially dilutive shares outstanding. Performance Stock Units (“PSUs”) are considered potentially dilutive as of the first day of the reporting period in which the underlying performance metric is achieved. The performance metrics for the PSUs related to 2022 performance metrics were considered fulfilled as of December 31, 2022. In the event of a loss, diluted shares are not considered because of their anti-dilutive effect. The Company uses the treasury stock method on a grant-by-grant basis as the method for determining the dilutive effect of options, RSUs and PSUs. Under this method, it is assumed that the hypothetical proceeds received upon settlement are used to repurchase common shares at the average market price during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 by the Company</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xml:space="preserve"> ASU 2021-08 requires that an acquiring entity recognize and measure contract assets and contract liabilities acquired in a business combination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that at the acquisition date, the acquirer accounts for related revenue contracts in accordance with ASC 606 as if it had originated the contracts. This guidance is effective for fiscal years beginning after December 15, 2022, including interim periods within those fiscal years. Early adoption is permitted, including in interim periods. The Company does not expect the adoption of this standard to have a material impact on its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2022, the FASB issued ASU No. 2022-06, </w:t>
      </w:r>
      <w:r>
        <w:rPr>
          <w:rFonts w:ascii="Times New Roman" w:cs="Times New Roman" w:eastAsia="Times New Roman" w:hAnsi="Times New Roman"/>
          <w:sz w:val="18"/>
          <w:szCs w:val="18"/>
          <w:i w:val="1"/>
          <w:iCs w:val="1"/>
          <w:color w:val="auto"/>
        </w:rPr>
        <w:t>Reference Rate Reform (Topic 848): Deferral of the Sunset Date of Topic 484</w:t>
      </w:r>
      <w:r>
        <w:rPr>
          <w:rFonts w:ascii="Times New Roman" w:cs="Times New Roman" w:eastAsia="Times New Roman" w:hAnsi="Times New Roman"/>
          <w:sz w:val="18"/>
          <w:szCs w:val="18"/>
          <w:color w:val="auto"/>
        </w:rPr>
        <w:t xml:space="preserve"> (“ASU 2022-06”)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amendments of ASU No. 2020-06 apply only to contracts, hedging relationships and other transactions that reference LIBOR or another reference rate expected to be discontinued because of reference rate reform. The Company will continue to monitor the effects of rate reform, if any, on its contracts. The Company does not anticipate the amendments in 2022-06 to be material to its consolidated financial statements upon adoption.</w:t>
      </w:r>
    </w:p>
    <w:p>
      <w:pPr>
        <w:spacing w:after="0" w:line="20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Reworks OY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31, 2021, the Company entered into a Share Sale and Purchase Agreement (“SPA”) pursuant to which the Company (i) acquired 80% of all issued and registered shares and options (“Share Capital”) of Reworks Oy, a limited liability company incorporated under the laws of Finland (“Reworks”) in exchange for cash consideration of $400 million, subject to customary closing adjustments, and (ii) will acquire the remaining 20% of the Share Capital for additional cash consideration (“Earnout Payment”) in an amount to be determined based on certain performance metrics during the calendar year 2022. The Earnout Payment will be calculated based on the amount of “Company EBITDA” (as defined in the SPA) in calendar year 2022 in excess of $10.3 million multiplied by 6.0, not to exceed $200 million, as further described in the SPA. In the event “Company EBITDA” (as defined in the SPA) is $10.3 million or less, the Earnout Payment will be $1.</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with the Company consolidating Reworks subsequent to the August 31, 2021 closing date. The assets acquired and liabilities assumed have been recognized at their estimated fair values at the acquisition date, the determination of which was completed in the fourth quarter of 2021 and there were no material adjustments. The goodwill, which is non-deductible for tax purposes, is generally attributable to synergies between the Company's and Reworks' respective studio operations and apps.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date fair value of the Earnout Payment was estimated by management, with the assistance of third-party valuation specialists, based upon the probability-weighted fair values of multiple discounted cash flow analyses. The extent to which the actual EBITDA differs from the probability-weighted analysis will result in adjustments to this liability in future periods. In accordance with ASC 480, this liability has been measured at fair value as of the acquisition date and will be remeasured to fair value on each subsequent reporting date until the contingency is resolved.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shareholders of Reworks include both third-party investors and certain historical employees of Reworks that will continue as employees of Playtika post-acquisition. The earnout obligation payable to selling employee shareholders that will remain as employees of Playtika had an acquisition date fair value of $54.2 million. As the SPA includes certain forfeiture provisions for selling employee shareholders, the earnout obligation payable to these employee will be recorded as compensation expense over the period that such payment is earned.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earnout obligation payable to the third-party sellers had an acquisition date fair value of $33.7 million. As this represents an unconditional obligation of the Company to purchase the remaining Share Capital of Reworks at an agreed upon future date, this portion of the total Earnout Payment has been classified as a liability on the Company’s consolidated balance sheet rather than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(in millions):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Consideration</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r>
      <w:tr>
        <w:trPr>
          <w:trHeight w:val="230"/>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Cash acquired</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97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r>
      <w:tr>
        <w:trPr>
          <w:trHeight w:val="230"/>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Acquisition date fair value of contingent consideration</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97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Consideration paid as of August 31, 2021</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394.1</w:t>
            </w: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9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other than goodwill</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9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Liabilities assumed</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97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identifiable assets acquired and liabilities assumed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developed game and user base intangible assets acquired and included in the above table are being amortized on a straight-line basis over their estimated useful life of six years and one year, respectively, which approximates the pattern in which the economic benefits of the intangible assets are expected to be realized.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costs incurred by the Company in connection with the Reworks acquisition, were approximately $1.0 million for the year ended December 31, 2021, and were recorded within general and administrative expenses in the consolidated statements of comprehensive income. Pro forma results of operations for this acquisition subsequent to the August 31, 2021 acquisition date have not been presented because the incremental results from Reworks are not material to the consolidated statements of comprehensive income presented herein.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2021, the Company recorded other income of $5.0 million with respect to the adjustment of the contingent consideration to estimated fair value. The net amount is comprised of a favorable fair value adjustment of $6.5 million, partially offset by $1.5 million of interest expense included within general and administrative expenses and interest expense, respectively, in the accompanying consolidated statement of comprehensive income. As of December 31, 2021, approximately $11 million had been recorded as compensation expense and was classified as an employee-related current liability on the Company’s consolidated balance sheet. As of December 31, 2021, the fair value of the earnout obligation payable to third-party sellers was $28.7 million and was recorded as contingent consideration on the Company’s consolidated balance sheet.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half of 2022, the Company recognized $25 million of income and $30 of expense in connection with adjusting the Earnout Payment to estimated fair value. On August 1, 2022, the Company entered into an Omnibus Agreement to acquire the title to the remaining shares and options of Reworks in exchange for a $45 million cash payment to the sellers in lieu of the Earnout Payment. The cash payment was made in the third quarter of 2022. As of December 31, 2022, the Company has no remaining liability reflected in the financial statements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JustPlay.LOL Ltd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21, 2022, the Company acquired all of the issued and outstanding shares of JustPlay.LOL Ltd. (“JustPlay”) consistent with the Company’s strategy to increase its breadth of entertainment genres and leverage the Company’s Boost platform to enhance game-operations. The acquisition was accounted for as a business combination.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accompanying consolidated financial statements, management has recorded its final estimate of the assets acquired and liabilities assumed in the acquisition, along with an estimate of the fair value for contingent consideration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3" w:name="page104"/>
    <w:bookmarkEnd w:id="10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payable, based upon management’s financial models for this acquisition, and upon similar allocations from prior acquisitions. The Company has engaged a third-party valuation specialist to assist the Company and such valuations were finalized during the third quarter of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which is non-deductible for tax purposes, is generally attributable to synergies between the Company's and JustPlay's respective studio operations and games.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(in millions):</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9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Consideration</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Cash acquired</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97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Acquisition date fair value of contingent consideration</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97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Consideration paid as of March 23, 2022</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9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assets other than goodwill</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Liabilities assumed</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97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identifiable assets acquired and liabilities assumed</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r>
      <w:tr>
        <w:trPr>
          <w:trHeight w:val="20"/>
        </w:trPr>
        <w:tc>
          <w:tcPr>
            <w:tcW w:w="9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developed game assets acquired and included in the above table are being amortized on a straight-line basis over their estimated useful life of six years, which approximates the pattern in which the economic benefits of the intangible assets are expected to be realized.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costs incurred by the Company in connection with the JustPlay acquisition, were approximately $0.5 million for the year ended December 31, 2022, and were recorded within general and administrative expenses in the consolidated statements of comprehensive income. Pro forma results of operations for this acquisition subsequent to the March 23, 2022 acquisition date have not been presented because the incremental results from JustPlay are not material to the consolidated statements of comprehensive income presented herein.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acquisition, the Company reduced the amount of contingent consideration expected to be paid. As of December 31, 2022, the Company has no remaining liability reflected in the financial statements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development transactions</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February 2020, the Company acquired an assembled workforce to expand the Company’s game portfolio and in-house expertise for approximately $12.1 million. This acquisition was recorded as expense during the quarter ended March 31, 2020. During 2021 and 2022, the Company has made a small number of minority investments in early-stage high-growth potential game developers, all of which are accounted for as investments in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3.  CASH EQUIVALENTS AND SHORT-TERM BANK DEPOSITS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Cash equivalents and bank deposits at December 31, 2022 and 2021 are as follow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5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Unrealized gains</w:t>
            </w: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560" w:type="dxa"/>
            <w:vAlign w:val="bottom"/>
            <w:gridSpan w:val="3"/>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Term deposits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 papers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5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Unrealized gains</w:t>
            </w: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560" w:type="dxa"/>
            <w:vAlign w:val="bottom"/>
            <w:gridSpan w:val="3"/>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bank deposits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4.  PREPAID EXPENSES AND OTHER CURRENT ASSETS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at December 31, 2022 and 2021 are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56"/>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authorities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6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82"/>
        </w:trPr>
        <w:tc>
          <w:tcPr>
            <w:tcW w:w="51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at December 31, 2022 and 2021 are as follow (in millions):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9"/>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aircraft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$45.9 million, $42.5 million and $37.6 million in the years ended December 31, 2022, 2021 and 2020,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goodwill for the years ended December 31, 2022 and 2021 were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00"/>
        </w:trPr>
        <w:tc>
          <w:tcPr>
            <w:tcW w:w="8220" w:type="dxa"/>
            <w:vAlign w:val="bottom"/>
          </w:tcPr>
          <w:p>
            <w:pPr>
              <w:spacing w:after="0"/>
              <w:rPr>
                <w:sz w:val="24"/>
                <w:szCs w:val="2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484.8</w:t>
            </w: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312.6</w:t>
            </w: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788.1</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1 of each of the years presented, the Company performed a qualitative assessment for its reporting unit and concluded that the qualitative assessment did not result in a more likely than not indication of impairment, and therefore no further impairment testing was required. Accordingly, during the years ended December 31, 2022, 2021 and 2020, no impairment charge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INTANGIBLE ASSETS OTHER THAN GOODWILL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and accumulated amortization expenses of the acquired intangible assets other than goodwill, net, including the impact of foreign currency exchange translation, at December 31, 2022 and 2021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54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98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9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remaining useful</w:t>
            </w:r>
          </w:p>
        </w:tc>
        <w:tc>
          <w:tcPr>
            <w:tcW w:w="280" w:type="dxa"/>
            <w:vAlign w:val="bottom"/>
          </w:tcPr>
          <w:p>
            <w:pPr>
              <w:spacing w:after="0"/>
              <w:rPr>
                <w:sz w:val="15"/>
                <w:szCs w:val="15"/>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Historical cost basis:</w:t>
            </w:r>
          </w:p>
        </w:tc>
        <w:tc>
          <w:tcPr>
            <w:tcW w:w="1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Developed games and acquired technology</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Trademarks and user base</w:t>
            </w:r>
          </w:p>
        </w:tc>
        <w:tc>
          <w:tcPr>
            <w:tcW w:w="1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Internal use software</w:t>
            </w:r>
          </w:p>
        </w:tc>
        <w:tc>
          <w:tcPr>
            <w:tcW w:w="1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Developed games and acquired technology</w:t>
            </w: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and user base</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Internal use software</w:t>
            </w: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Intangible assets other than goodwill, net</w:t>
            </w:r>
          </w:p>
        </w:tc>
        <w:tc>
          <w:tcPr>
            <w:tcW w:w="1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Acquisition-related intangible assets included in the above table are finite-lived and are being amortized on a straight-line basis over their estimated lives, which approximates the pattern in which the economic benefits of the intangible assets are realized. The Company has included amortization of acquired intangible assets directly attributable to revenue-generating activities in cost of revenue. The Company has included amortization of acquired intangible assets not directly attributable to revenue-generating activities in operating expenses.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amortization expense in the amounts of $116.1 million, $103.0 million and $81.6 million,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There was no impairment of intangible assets in the years ended December 31, 2022, 2021 and 2020.</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 the total expected future amortization related to intangible assets was as follows (in millions):</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0"/>
        </w:trPr>
        <w:tc>
          <w:tcPr>
            <w:tcW w:w="9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OTHER NON-CURRENT ASSETS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at December 31, 2022 and 2021 are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assets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gain on interest rate swaps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other non-current assets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at December 31, 2022 and 2021 are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 and related expenses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 buy</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accruals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3"/>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OTHER LONG-TERM LIABILITIES, INCLUDING EMPLOYEE RELATED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including employee related benefits at December 31, 2022 and 2021 are as follows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reserves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benefits</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other long-term liabilities, including employee related benefits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include office real estate and data center leases for its facilities worldwide, which are all classified as operating leases, and which expire on various dates, the latest of which is December 2035. Certain lease agreements include rental payments that are adjusted periodically for the consumer price index ("CPI"). The Company’s ROU assets and lease liabilities were calculated using the initial CPI and will not be subsequently adjusted. Certain leases include renewal options that are reasonably certain to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The following is a summary of weighted average remaining lease terms and discount rates for all of the Company's operating leases: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expense was $25.5 million, $21.8 million and $16.7 million for the years ended December 31, 2022, 2021 and 2020,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$24.5 million, $21.5 million and $15.4 million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DEBT</w:t>
            </w: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gridSpan w:val="5"/>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6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interest rates)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 rate(s)</w:t>
            </w:r>
          </w:p>
        </w:tc>
        <w:tc>
          <w:tcPr>
            <w:tcW w:w="20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22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Face value</w:t>
            </w:r>
          </w:p>
        </w:tc>
        <w:tc>
          <w:tcPr>
            <w:tcW w:w="160" w:type="dxa"/>
            <w:vAlign w:val="bottom"/>
          </w:tcPr>
          <w:p>
            <w:pPr>
              <w:spacing w:after="0"/>
              <w:rPr>
                <w:sz w:val="22"/>
                <w:szCs w:val="22"/>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Book value of debt in the table above is reported net of deferred financing costs and original issue discount of $43.2 million and $50.7 million at December 31, 2022 and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10, 2019, the Company entered into $2,750 million of senior secured credit facilities (the "Credit Facilities"), consisting of a $250 million revolving credit facility (the "Revolving Credit Facility"), and a $2,500 million first lien term loan (the "Old Term Loan"). The Credit Facilities were provided pursuant to a Credit Agreement, dated as of December 10, 2019 (the "Credit Agreement"), by and among Playtika, the lenders party thereto, and Credit Suisse, AG, Cayman Islands Branch, as administrative agent (in such capacity, the "Administrative Agent") and collateral agent (in such capacity, the "Collateral Agent"). Proceeds borrowed under the Credit Facilities on the closing date were used to pay off the outstanding balance on the Company’s prior debt facility. On June 15, 2020, the Company increased the capacity of the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9" w:name="page110"/>
    <w:bookmarkEnd w:id="109"/>
    <w:p>
      <w:pPr>
        <w:jc w:val="both"/>
        <w:spacing w:after="0" w:line="282" w:lineRule="auto"/>
        <w:rPr>
          <w:sz w:val="20"/>
          <w:szCs w:val="20"/>
          <w:color w:val="auto"/>
        </w:rPr>
      </w:pPr>
      <w:r>
        <w:rPr>
          <w:rFonts w:ascii="Times New Roman" w:cs="Times New Roman" w:eastAsia="Times New Roman" w:hAnsi="Times New Roman"/>
          <w:sz w:val="18"/>
          <w:szCs w:val="18"/>
          <w:color w:val="auto"/>
        </w:rPr>
        <w:t>Facility to $350 million. On January 15, 2021, the Company increased the borrowing capacity of the Revolving Credit Facility from $350 million to $550 million.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11, 2021, the Company amended the Credit Agreement pursuant to an Incremental Assumption Agreement No. 3 and Second Amendment to Credit Agreement (the “Second Amendment”). The Second Amendment, among other things, effected a refinancing of the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Credit Agreement allows the Company to request one or more incremental term loan facilities, incremental revolving credit facilities and/or increases to the New Term Loan or the Revolving Credit Facility in an aggregate amount of up to the sum of (x) the greater of (1) $800 million and (2) 1.00 times EBITDA (as defined in the Credit Agreement) plus (y) the amount of certain voluntary prepayments of indebtedness plus (z) such additional amount so long as, (i) in the case of loans under additional credit facilities that are secured by liens on the collateral securing the Credit Agreement, the Company's net total secured leverage ratio on a pro forma basis would not exceed 3.50 to 1.00 (or in the case of incremental facilities to fund certain investments and acquisitions, the net total secured leverage ratio immediately prior to such incurrence) and (iii) in the case of any other loans under additional credit facilities, the Company's fixed charge coverage ratio on a pro forma basis would not be less than 2.00 to 1.00 (or in the case of incremental facilities to fund certain investments and acquisitions, the fixed charge coverage ratio immediately prior to such incurrence), in each case, subject to certain conditions and receipt of commitments by existing or additional financial institutions or institutional lenders.</w:t>
      </w:r>
    </w:p>
    <w:p>
      <w:pPr>
        <w:spacing w:after="0" w:line="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Fees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equal to, at the Company’s option, either (a) LIBOR determined by reference to the cost of funds for Eurodollar deposits for the interest period relevant to such borrowing, adjusted for certain additional costs, subject to a floor of 0% or (b) a base rate determined by reference to the highest of (i) the federal funds rate plus 0.50%, (ii) the prime rate as determined by the administrative agent and (iii) the one-month adjusted LIBOR rate plus 1.00%, in each case plus an applicable margin. Such applicable margin is (x) with respect to the New Term Loan, 2.75% per annum in the case of any LIBOR loan or 1.75% per annum in the case of any base rate loan, subject to one 0.25% step-down based on the Company’s credit ratings and (y) in the case of the Revolving Credit Facility, a range from 2.25% to 3.00% per annum in the case of any LIBOR loan and a range from 1.25% to 2.00% per annum in the case of any base rate loan, based on the Company’s net senior secured leverage ratio.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in July 2023, LIBOR will be replaced by SOFR and interest will be calculated based upon term SOFR plus an applicable margin.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 a quarterly basis, the Company is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the Company's senior secured leverage ratio. The Company is also required to pay customary agency fees as well as letter of credit participation fees on outstanding letters of credit.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permits voluntary prepayments and requires mandatory prepayments in certain events including among others, 50% (subject to step-downs to 25% and 0% based upon the Company’s net total secured leverage ratio) of the Company’s excess cash flow to the extent such amount exceeds $10 million, certain net cash proceeds from non-ordinary asset sale transactions (subject to reinvestment rights), and 100% of net proceeds of any issuance of debt (except for debt permitted to be incurred by the Credit Agreement). The Company is not required to make an excess cash flow payment based upon its secured leverage ratio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color w:val="auto"/>
        </w:rPr>
        <w:t>Collateral and Guarantors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borrowings under the Credit Agreement are guaranteed by certain material, wholly-owned restricted subsidiaries of the Company, and are secured by a pledge of substantially all of the existing and future property and assets of the Company and the guarantors (subject to exceptions), including a pledge of the capital stock of the domestic subsidiaries held by the Company and the domestic guarantors and 65% (or 100% in the case of certain of the guarantors) of the capital stock of the first-tier foreign subsidiaries held by the Company and the domestic guarantors, in each case subject to exceptions.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requires that the Company and the guarantors (a) generate at least 80.0% of the EBITDA of the Company and its restricted subsidiaries for the four fiscal quarters most recently ended prior to the end of each fiscal quarter and (b) own all “Material Intellectual Property” (defined as any intellectual property rights consisting of registered trademarks or copyrights subsisting in the name or logo of any game that generates more than 5% of the EBITDA of the Company and its restricted subsidiaries for the then most recently ended four fiscal quarters) on the last day of the four fiscal quarters most recently ended prior to the end of each fiscal quarter. If the Company and the guarantors do not satisfy such requirement, then the Company must cause sufficient additional subsidiaries (which, subject to certain limitations, may include guarantors located in jurisdictions other than the United States, England and Wales and the State of Israel) to become guarantors in order to satisfy such requirement. During the year ended December 31, 2021, the Company voluntarily designated certain subsidiaries in Germany, Austria and Finland as additional guarantors. As of December 31, 2022, the Company was in compliance with these requirements.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Restrictive Covenants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Credit Facility includes a maximum first-priority net senior secured leverage ratio financial maintenance covenant of 6.25 to 1.00, calculated as total first lien senior secured net debt divided by Credit Adjusted EBITDA. At December 31, 2022, the Company’s first-priority net senior secured leverage ratio was 1.36 to 1.00 based upon Credit Adjusted EBITDA of $805.1 million and net debt (as defined in the Credit Agreement) of $1,098.3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Credit Agreement includes negative covenants, subject to certain exceptions, restricting or limiting the Company's ability and the ability of its restricted subsidiaries to, among other things: (i) make non-ordinary course dispositions of assets; (ii) make certain mergers and acquisitions;</w:t>
      </w: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dividends and stock repurchases and optional redemptions (and optional prepayments) of subordinated debt; (iv) incur indebtedness;</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and investments; (vi) incur liens and certain fixed charges; (vii) transact with affiliates; (viii) change the business of the Company and its restricted subsidiaries; (ix) enter into sale/leaseback transactions; (x) allow limitations on negative pledges and the ability of restricted subsidiaries to pay dividends or make distributions; (xi) change the fiscal year and (xii) modify subordinated debt documents. Under the Credit Agreement, the Company may be required to meet specified leverage ratios or fixed charge coverage ratios in order to take certain actions, such as incurring certain debt or liens or making certain investments.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and other covenants under the Credit Agreement as of December 31,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Related to Modification of Debt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the restructuring of its debt agreements in accordance with the accounting standards applicable to troubled debt restructuring, debt modification and debt extinguishment. Under the applicable accounting standards, the Company determined that the March 2021 financing transactions qualified for modification accounting. As a result, the Company expensed $14.5 million related to the debt modification, wrote off $22.9 million of previously deferred financing costs related to the modification of debt related to the Company’s Old Term Loan and carried over $34.9 million of deferred financing costs to the New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Offering of 4.250% Senior Notes due 2029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11, 2021, the Company issued $600.0 million aggregate principal amount of its 4.250% senior notes due 2029 (the “Notes”) under an indenture, dated March 11, 2021 (the “Indenture”), among the Company, the subsidiary guarantors party thereto and Wilmington Trust, National Association, as trustee (the “Trustee”).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and Interest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mature on March 15, 2029. Interest on the Notes will accrue at a rate of 4.250% per annum. Interest on the Notes payable semi-annually in cash in arrears on March 15 and September 15 of each year, commenced on September 15,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Notes are fully and unconditionally guaranteed, jointly and severally, on a senior unsecured basis by the Company’s existing and future restricted subsidiaries that guarantee the obligations under the Credit Agreement (the “subsidiary guarantors”).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and the note guarantees rank equally in right of payment to all of the Company’s and the subsidiary guarantors’ existing and future senior indebtedness and senior in right of payment to all of the Company’s and the subsidiary guarantors’ future subordinated indebtedness. The Notes and the note guarantees are effectively subordinated to any of the Company’s and the subsidiary guarantors’ existing and future secured indebtedness to the extent of the value of the assets securing such indebtedness, including indebtedness outstanding under the Credit Agreement. In addition, the Notes and the note guarantees are structurally subordinated to the existing and future liabilities of the Company’s non-guarantor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the Notes at any time prior to March 15, 2024, in whole or in part, at a redemption price equal to 100% of the accrued principal amount thereof plus accrued and unpaid interest, if any, to, but excluding, the redemption date, plus a make-whole premium.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the Notes at any time on or after March 15, 2024, in whole or in part, at a redemption price equal to (i) 102.125% of the principal amount thereof, should such redemption occur before March 15, 2025, (ii) 101.063% of the principal amount thereof, should such redemption occur before March 15, 2026, and (iii) 100.000% of the principal amount thereof, should such redemption occur on or after March 15, 2026, in each case plus accrued and unpaid interest, if any, to, but excluding, the redemption date.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at any time prior to March 15, 2024, the Company may redeem up to 40% of the original aggregate principal amount of all Notes issued with the net cash proceeds from certain equity offerings at a redemption price of 104.250% of the principal amount redeemed plus accrued and unpaid interest, if any, to, but excluding, the redemption date, so long as at least 50% of the aggregate principal amount of the Notes remains outstanding immediately after the occurrence of such redemption, and the redemption date is within 90 days of the consummation of any such equity offering.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Indenture contains customary covenants that limit the Company’s ability and, in certain instances, the ability of the Company’s subsidiaries, to borrow money, create liens on assets, make distributions and pay dividends on or redeem or repurchase stock, make certain types of investments, sell stock in certain subsidiaries, enter into agreements that restrict dividends or other payments from subsidiaries, enter into transactions with affiliates, issue guarantees of indebtedness,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sell assets or merge with other companies. These limitations are subject to a number of important exceptions and qualifications set forth in the Indenture.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the Company must offer to repurchase the Notes at a repurchase price equal to 101% of the aggregate principal amount thereof plus accrued and unpaid interest, if any, to, but excluding, the repurchase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Events of default under the Indenture include, among others, the following with respect to the Notes: default which continues for 30 days in the payment of interest on the Notes; default in payment of the principal of, or premium, if any, on the Notes; failure to comply with certain covenants in the Indenture for 60 days (or 120 days with respect to the covenant relating to the provision of financial reports) upon the receipt of notice from the Trustee or holders of at least 25% in aggregate principal amount of the Notes; acceleration or payment default of indebtedness of the Company or certain of its subsidiaries in excess of a specified amount that remains uncured following the applicable grace period provided in such indebtedness; final judgments against the Company or certain of its subsidiaries in excess of a specified amount that remains unpaid for 45 days; and certain events of bankruptcy or insolvency with respect to the Company or certain of its subsidiaries. In the case of an event of default arising from certain events of bankruptcy or insolvency with respect to the Company or certain of its subsidiaries, all Notes then outstanding will become due and payable immediately without further action or notice. If any other event of default occurs with respect to the Notes, the Trustee or holders of at least 25% in aggregate principal amount of the Notes may declare all Notes then outstanding to be due and payable immediately.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Scheduled principal payments of long-term debt</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principal payments due on long-term debt are as follows (in millions):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2,390.8</w:t>
            </w:r>
          </w:p>
        </w:tc>
      </w:tr>
      <w:tr>
        <w:trPr>
          <w:trHeight w:val="223"/>
        </w:trPr>
        <w:tc>
          <w:tcPr>
            <w:tcW w:w="97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2,466.8</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13.</w:t>
        <w:tab/>
        <w:t>EQUITY TRANSACTIONS AND STOCK INCENTIVE PLAN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rights and privileges of the Company’s common shares:</w:t>
      </w:r>
    </w:p>
    <w:p>
      <w:pPr>
        <w:spacing w:after="0" w:line="250"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holders of outstanding shares of the Company’s common stock are entitled to receive dividends out of funds legally available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times and in the amounts which its board of directors may determine.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Holders of the Company’s common shares are entitled to one vote per share.</w:t>
      </w:r>
    </w:p>
    <w:p>
      <w:pPr>
        <w:spacing w:after="0" w:line="252"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Upon the Company’s liquidation, dissolution or winding-up, the assets legally available for distribution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would be distributable ratably among the holders of the Company’s common shares.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Preemptive or similar rights </w:t>
      </w:r>
      <w:r>
        <w:rPr>
          <w:rFonts w:ascii="Times New Roman" w:cs="Times New Roman" w:eastAsia="Times New Roman" w:hAnsi="Times New Roman"/>
          <w:sz w:val="18"/>
          <w:szCs w:val="18"/>
          <w:color w:val="auto"/>
        </w:rPr>
        <w:t>– None of the Company’s common shares is entitled to preemptive rights or subject to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Overview of Stock Incentive 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26, 2020, the Board of Directors of the Company approved the Playtika Holding Corp. 2020 Incentive Award Plan (the “Plan”). The Plan authorizes the issuance of stock options, restricted stock, RSUs, dividend equivalents, stock appreciation rights, performance bonus awards and other incentive awards. The Plan authorizes the grant of awards to employees, non-employee directors and consultants of the Company.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maximum number of shares of the Company’s common stock for which grants may be made under the Plan was 56,232,228 shares as of December 31, 2022. As of December 31, 2022, a total of 15,874,201 shares of the Company’s common stock remained available for grants of awards under the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transactions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26, 2020, the Board of Directors of the Company approved an amendment to the Certificate of Incorporation of the Company (the ”Stock Split”) to increase the authorized number of shares of the Company’s common stock from ten (10) shares to one million (1,000,000) shares, to decrease the par value of each share of common stock of the Company from $1.00 per share to $0.01 per share, and to reclassify each share of common stock issued and outstanding immediately prior to the Stock Split into 94,500 shares of common stock.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5, 2021, the Company’s Board of Directors approved an amended and restated certificate of incorporation of the Company effecting a 400-for-1 stock split of the Company’s issued and outstanding shares of common stock and an increase to the authorized shares of our common stock and preferred stock to 1,600 million shares and 100 million shares, respectively. The split and the increase in authorized shares of the Company’s common stock was effected on January 6, 2021 and without any change in the par values per share.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information herein related to the Company’s common stock and stock awards has been retroactively adjusted to give effect to both the May 26, 2020 stock split and the January 5, 2021 stock split.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2021, promptly following the pricing of the Company’s IPO, the number of shares available for issuance under the Playtika Holding Corp. 2020 Incentive Award Plan (the “Plan”) increased by 14,335,499 shares of common stock, which represented 3.5% of the total number of shares outstanding immediately after the consummation of the IPO. The number of shares available for grant will increase on January 1st of each year through January 2030 by an amount equal to the lesser of (i) 3.5% of the total shares of the Company’s outstanding common stock or (ii) such number of shares determined by the Board of Directors. On January 1, 2022, the number of shares of issuance under the Plan increased by 14.0 million. On January 1, 2023, there was no increase to the number of shares available for issuance under the Plan.</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its January 15, 2021 IPO, the Company granted 7,985,297 stock options and 4,299,077 RSUs to certain of its employees. The stock options and RSUs generally vest 25% on the first anniversary of the grant date, and the remaining 75% of the options and RSUs vest in equal quarterly installments during the three years following the first anniversary of the grant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Repricing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2022, the Compensation Committee of the Board of Directors of the Company approved an amendment to 5,303,242 options granted in 2021 that were scheduled to vest after the first anniversary of the grant date (the “Adjusted Portion”). The Adjusted Portion was amended to reduce the per share exercise prices of such Adjusted Portion to $18.71. The Company accounted for the repricing as a modification and is recording incremental compensation expense of approximately $8.8 million from the time of the repricing through the remaining vesting period. There were no awards to any named executive officers or other Section 16 executives included in this repricing.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29, 2022, the Company announced a tender offer for the purchase of up to 51,813,472 shares of its issued and outstanding common stock, par value $0.01 per share (each, a “Share” and collectively, “Shares”) or such lesser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4" w:name="page115"/>
    <w:bookmarkEnd w:id="114"/>
    <w:p>
      <w:pPr>
        <w:jc w:val="both"/>
        <w:spacing w:after="0" w:line="255" w:lineRule="auto"/>
        <w:rPr>
          <w:sz w:val="20"/>
          <w:szCs w:val="20"/>
          <w:color w:val="auto"/>
        </w:rPr>
      </w:pPr>
      <w:r>
        <w:rPr>
          <w:rFonts w:ascii="Times New Roman" w:cs="Times New Roman" w:eastAsia="Times New Roman" w:hAnsi="Times New Roman"/>
          <w:sz w:val="18"/>
          <w:szCs w:val="18"/>
          <w:color w:val="auto"/>
        </w:rPr>
        <w:t>Shares as are properly tendered and not properly withdrawn, at a price of $11.58 per Share (the "Tender Offer"). On October 10, 2022, the Company announced that it accepted for purchase 51,813,472 Shares for an aggregate cost of $600 million, excluding fees and expense related to the Tender Offer. The number of shares that the Company has accepted for purchase in the Tender Offer represented approximately 12.6% of the total number of shares that were outstanding as of September 30, 2022. The Company’s shares outstanding and treasury stock are presented, and both basic and diluted earnings per share have been calculated, as if the entire 51,813,472 shares accepted in the Tender Offer were purchased on the closing date of the Tender Offer. The actual settlement by the Administrative agent for Shares may be delayed due to administrative requirements, whereby the Shares are repurchased as those requirements are fulfilled.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Exchange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14, 2022, the Company commenced a voluntary, one-time stock option exchange program (the “Option Exchange”) pursuant to which eligible service providers (including eligible employees) were able to exchange outstanding stock options for a lesser amount of new RSUs to be issued under the Plan. No members of the Board held outstanding stock options and therefore did not participate in the Option Exchange. Service providers who elected to participate in the Option Exchange received one RSU for every 2.5 shares of Playtika common stock underlying the eligible options surrendered. This “exchange ratio” (2.5-for-1) was applied on a grant-by-grant basis.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2022, 10,886,748 options were exchanged for 4,353,438 RSUs. The Company accounted for the Option Exchange as a modification and is recording incremental compensation expense of approximately $10.1 million from the time of the Option Exchange through the remaining vesting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19"/>
        </w:trPr>
        <w:tc>
          <w:tcPr>
            <w:tcW w:w="5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1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Cancelled </w:t>
            </w:r>
            <w:r>
              <w:rPr>
                <w:rFonts w:ascii="Times New Roman" w:cs="Times New Roman" w:eastAsia="Times New Roman" w:hAnsi="Times New Roman"/>
                <w:sz w:val="23"/>
                <w:szCs w:val="23"/>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ind w:left="260" w:hanging="252"/>
        <w:spacing w:after="0" w:line="211" w:lineRule="auto"/>
        <w:tabs>
          <w:tab w:leader="none" w:pos="2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number of stock options cancelled includes those exchanged in the Option Exchange.</w:t>
      </w: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stock options exercised during the years ended December 31, 2022, 2021 or 2020. The weighted-average grant-date fair value of stock options granted during the years ended December 31, 2022 and 2021 was $6.43 per share and $10.16 per share,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issue new shares of common stock upon exercise of stock options.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and compensation cost associated with employee stock options, which is affected by the following assumptions regarding complex and subjective variables. Any changes in these assumptions may materially affect the estimated fair value of the stock-based award.</w:t>
      </w:r>
    </w:p>
    <w:p>
      <w:pPr>
        <w:spacing w:after="0" w:line="203"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Fair value of common stock - Prior to the Company’s initial public offering of equity in January 2021, as the Company’s common stock was not publicly traded, the fair value of common stock was estimated by valuation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15" w:name="page116"/>
    <w:bookmarkEnd w:id="115"/>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reports prepared by third-party valuation specialists using multiple methods, as more fully discussed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8"/>
          <w:szCs w:val="18"/>
          <w:i w:val="1"/>
          <w:iCs w:val="1"/>
          <w:color w:val="auto"/>
        </w:rPr>
        <w:t>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Subsequent to the Company’s initial public offering, the Company uses the public trading price of its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on the Nasdaq stock market to determine the fair value of its common stock.</w:t>
      </w:r>
    </w:p>
    <w:p>
      <w:pPr>
        <w:spacing w:after="0" w:line="202"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Risk-free interest rate - The risk-free interest rate was estimated based on the U.S. Treasury yield curve in effect at the time of grant and with maturities consistent with the expected term of the respective equity option award.</w:t>
      </w:r>
    </w:p>
    <w:p>
      <w:pPr>
        <w:spacing w:after="0" w:line="188" w:lineRule="exact"/>
        <w:rPr>
          <w:sz w:val="20"/>
          <w:szCs w:val="20"/>
          <w:color w:val="auto"/>
        </w:rPr>
      </w:pPr>
    </w:p>
    <w:p>
      <w:pPr>
        <w:ind w:left="660" w:right="20" w:hanging="324"/>
        <w:spacing w:after="0" w:line="282" w:lineRule="auto"/>
        <w:rPr>
          <w:sz w:val="20"/>
          <w:szCs w:val="20"/>
          <w:color w:val="auto"/>
        </w:rPr>
      </w:pPr>
      <w:r>
        <w:rPr>
          <w:rFonts w:ascii="Times New Roman" w:cs="Times New Roman" w:eastAsia="Times New Roman" w:hAnsi="Times New Roman"/>
          <w:sz w:val="18"/>
          <w:szCs w:val="18"/>
          <w:color w:val="auto"/>
        </w:rPr>
        <w:t>– Expected dividend yield - The Company does not anticipate paying cash dividends on its shares of common stock; therefore, the expected dividend yield was assumed to be zero.</w:t>
      </w:r>
    </w:p>
    <w:p>
      <w:pPr>
        <w:spacing w:after="0" w:line="188"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Expected term - The Company estimated the expected term based on the average time between the vesting date and expiration date, ten years after the grant date, of the respective equity option award.</w:t>
      </w:r>
    </w:p>
    <w:p>
      <w:pPr>
        <w:spacing w:after="0" w:line="188" w:lineRule="exact"/>
        <w:rPr>
          <w:sz w:val="20"/>
          <w:szCs w:val="20"/>
          <w:color w:val="auto"/>
        </w:rPr>
      </w:pPr>
    </w:p>
    <w:p>
      <w:pPr>
        <w:ind w:left="660" w:hanging="324"/>
        <w:spacing w:after="0" w:line="258" w:lineRule="auto"/>
        <w:rPr>
          <w:sz w:val="20"/>
          <w:szCs w:val="20"/>
          <w:color w:val="auto"/>
        </w:rPr>
      </w:pPr>
      <w:r>
        <w:rPr>
          <w:rFonts w:ascii="Times New Roman" w:cs="Times New Roman" w:eastAsia="Times New Roman" w:hAnsi="Times New Roman"/>
          <w:sz w:val="18"/>
          <w:szCs w:val="18"/>
          <w:color w:val="auto"/>
        </w:rPr>
        <w:t>– Expected volatility – Prior to the Company’s initial public offering of equity in January 2021, as the Company was a private company at the time of valuation, the Company estimated volatility based on the volatilities exhibited by comparable public companies and the Company’s capital structure and utilized the observable data for a group of peer companies that grant options with substantially similar terms to assist in developing its volatility assumption. Subsequent to the Company’s initial public offering, the Company continues to estimate volatility in the same manner as it has not yet established sufficient history to estimate volatility of its own.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assumptions used for the options granted in each respective period, as well as for options repriced during the first quarter of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8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3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5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0.67% - 3.88%</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0.67% - 0.98%</w:t>
            </w:r>
          </w:p>
        </w:tc>
      </w:tr>
      <w:tr>
        <w:trPr>
          <w:trHeight w:val="25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40.96% - 52.82%</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38.19% - 38.56%</w:t>
            </w:r>
          </w:p>
        </w:tc>
      </w:tr>
    </w:tbl>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options granted during 2020 vest over four years, with 25% vesting on each of the four anniversaries of the grant date. For options granted during 2021 and 2022, 25% of the options generally vest on the first anniversary of the grant date, and the remaining 75% of the options vest in equal quarterly installments during the three years following the first anniversary of the grant date. The stock options have a contractual term of ten years. Except as provided in an option agreement between the Company and the employee, if an employee is terminated (voluntarily or involuntarily), any unvested awards as of the date of termination will be forfeited.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RSUs granted on June 26, 2020 vested immediately, while the remaining RSUs granted on June 26, 2020 vested 25% immediately, and 25% vest on each of the first three anniversaries of the grant date.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2020, the Company’s board of directors approved the issuance of 5,854,800 RSUs. The RSUs vest over four years, with 25% of the RSUs vesting on each of December 31, 2021, 2022, 2023 and 2024, subject to continued service on the applicable vesting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RSUs granted during 2021 and 2022, 25% of the RSUs generally vest on the first anniversary of the grant date, and the remaining 75% of the RSUs vest in equal quarterly installments during the three years following the first anniversary of the grant date. RSUs granted in 2022 as a result of the Option Exchange generally vest in equal quarterly installments over three years. Except as provided in an award agreement between the Company and the employee, if an employee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6" w:name="page117"/>
    <w:bookmarkEnd w:id="116"/>
    <w:p>
      <w:pPr>
        <w:spacing w:after="0" w:line="282" w:lineRule="auto"/>
        <w:rPr>
          <w:sz w:val="20"/>
          <w:szCs w:val="20"/>
          <w:color w:val="auto"/>
        </w:rPr>
      </w:pPr>
      <w:r>
        <w:rPr>
          <w:rFonts w:ascii="Times New Roman" w:cs="Times New Roman" w:eastAsia="Times New Roman" w:hAnsi="Times New Roman"/>
          <w:sz w:val="18"/>
          <w:szCs w:val="18"/>
          <w:color w:val="auto"/>
        </w:rPr>
        <w:t>(voluntarily or involuntarily), any unvested awards as of the date of termination will be forfeited. RSUs settle for outstanding shares of the Company’s common stock upon vesting.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Total Fair</w:t>
            </w:r>
          </w:p>
        </w:tc>
      </w:tr>
      <w:tr>
        <w:trPr>
          <w:trHeight w:val="216"/>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216"/>
        </w:trPr>
        <w:tc>
          <w:tcPr>
            <w:tcW w:w="6680" w:type="dxa"/>
            <w:vAlign w:val="bottom"/>
          </w:tcPr>
          <w:p>
            <w:pPr>
              <w:spacing w:after="0"/>
              <w:rPr>
                <w:sz w:val="18"/>
                <w:szCs w:val="18"/>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80" w:type="dxa"/>
            <w:vAlign w:val="bottom"/>
          </w:tcPr>
          <w:p>
            <w:pPr>
              <w:spacing w:after="0"/>
              <w:rPr>
                <w:sz w:val="18"/>
                <w:szCs w:val="18"/>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Shares Vested</w:t>
            </w:r>
          </w:p>
        </w:tc>
      </w:tr>
      <w:tr>
        <w:trPr>
          <w:trHeight w:val="219"/>
        </w:trPr>
        <w:tc>
          <w:tcPr>
            <w:tcW w:w="6680" w:type="dxa"/>
            <w:vAlign w:val="bottom"/>
          </w:tcPr>
          <w:p>
            <w:pPr>
              <w:spacing w:after="0"/>
              <w:rPr>
                <w:sz w:val="19"/>
                <w:szCs w:val="19"/>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2020</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3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6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ind w:left="260" w:hanging="252"/>
        <w:spacing w:after="0" w:line="211" w:lineRule="auto"/>
        <w:tabs>
          <w:tab w:leader="none" w:pos="2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number of RSUs granted includes those resulting from the Option Exchange.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2022, the Compensation Committee of the Board of Directors of the Company approved the grant of PSUs to certain employees pursuant to the Plan. For each annual performance period consisting of calendar years 2022 through 2025, up to 25% of the PSUs will be eligible to vest based on the Company’s annual revenue growth rate during the applicable performance period relative to threshold, target and maximum achievement levels.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Company’s annual revenue growth rate for a performance period is between two achievement levels, the achievement percentage will be determined by linear interpolation between the applicable achievement levels. Notwithstanding the foregoing, in no event shall less than 25 PSUs vest during each performance period for Israeli participants.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PSU activity: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Total Fair</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220"/>
        </w:trPr>
        <w:tc>
          <w:tcPr>
            <w:tcW w:w="6680" w:type="dxa"/>
            <w:vAlign w:val="bottom"/>
          </w:tcPr>
          <w:p>
            <w:pPr>
              <w:spacing w:after="0"/>
              <w:rPr>
                <w:sz w:val="19"/>
                <w:szCs w:val="19"/>
                <w:color w:val="auto"/>
              </w:rPr>
            </w:pPr>
          </w:p>
        </w:tc>
        <w:tc>
          <w:tcPr>
            <w:tcW w:w="1460" w:type="dxa"/>
            <w:vAlign w:val="bottom"/>
          </w:tcPr>
          <w:p>
            <w:pPr>
              <w:jc w:val="right"/>
              <w:ind w:right="353"/>
              <w:spacing w:after="0" w:line="220"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Shares Vested</w:t>
            </w:r>
          </w:p>
        </w:tc>
        <w:tc>
          <w:tcPr>
            <w:tcW w:w="0" w:type="dxa"/>
            <w:vAlign w:val="bottom"/>
          </w:tcPr>
          <w:p>
            <w:pPr>
              <w:spacing w:after="0"/>
              <w:rPr>
                <w:sz w:val="1"/>
                <w:szCs w:val="1"/>
                <w:color w:val="auto"/>
              </w:rPr>
            </w:pPr>
          </w:p>
        </w:tc>
      </w:tr>
      <w:tr>
        <w:trPr>
          <w:trHeight w:val="215"/>
        </w:trPr>
        <w:tc>
          <w:tcPr>
            <w:tcW w:w="6680" w:type="dxa"/>
            <w:vAlign w:val="bottom"/>
          </w:tcPr>
          <w:p>
            <w:pPr>
              <w:spacing w:after="0"/>
              <w:rPr>
                <w:sz w:val="18"/>
                <w:szCs w:val="18"/>
                <w:color w:val="auto"/>
              </w:rPr>
            </w:pPr>
          </w:p>
        </w:tc>
        <w:tc>
          <w:tcPr>
            <w:tcW w:w="14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0" w:type="dxa"/>
            <w:vAlign w:val="bottom"/>
          </w:tcPr>
          <w:p>
            <w:pPr>
              <w:spacing w:after="0"/>
              <w:rPr>
                <w:sz w:val="1"/>
                <w:szCs w:val="1"/>
                <w:color w:val="auto"/>
              </w:rPr>
            </w:pP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680" w:type="dxa"/>
            <w:vAlign w:val="bottom"/>
            <w:vMerge w:val="continue"/>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20" w:hanging="412"/>
        <w:spacing w:after="0" w:line="224" w:lineRule="auto"/>
        <w:tabs>
          <w:tab w:leader="none" w:pos="335"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for the PSUs listed as granted represent the total number of PSUs granted to each recipient eligible to vest if the Company meets its highest specified performance goals for the applicable period.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17" w:name="page118"/>
    <w:bookmarkEnd w:id="1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10, 2022, the Compensation Committee of the Board of Directors of the Company approved an amendment to the performance stock unit agreement resulting in a modification of the PSU awards and stock-based compensation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believed it probable that the 2022 and 2023 performance targets, as outlined in the amended award agreements, would achieve 50% revenue growth achievement, as defined. Therefore, fifty percent of the potential expense associated with these tranches was recognized or will be recognized over the remaining performance period of the respective tranche.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9, 2023, the Board of Directors of the Company ratified the Company’s annual revenue growth rate during 2022 and approved the vesting of 50.9% of the PSU awards eligible to vest for the 2022 performance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costs by award type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5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5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summarizes stock-based compensation costs, net of amounts capitalized, as reported on the Company’s consolidated statements of comprehensive income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5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 net of amounts capitalized</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capitalized $2.0 million and $2.7 million of stock-based compensation cost, respectively. There was no stock-based compensation cost capitalized in the 2020.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Company’s unrecognized stock-based compensation expenses related to stock options, RSUs and PSUs was approximately $14.1 million, $250.4 million and $18.1 million, respectively. The expense related to stock options, RSUs and PSUs are expected to be recognized over a weighted average period of 2.4 years, 2.5 years and 2.2 years, respectively.</w:t>
      </w:r>
    </w:p>
    <w:p>
      <w:pPr>
        <w:spacing w:after="0" w:line="19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DERIVATIVE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2021, the Company entered into two interest rate swap agreements, each with a notional value of $250 million. Each of these swap agreements is with a different financial institution as the counterparty to reduce the Company’s counterparty risk. Each swap requires the Company to pay a fixed interest rate of 0.9275% in exchange for receiving one-month LIBOR. Upon the update of the index to SOFR, we expect that the fixed rate will change from this current rate.The interest rate swap agreements settle monthly commencing in April 2021 through their termination dates on April 30, 2026. The estimated fair value of the Company’s interest rate swap agreements is derived from a discounted cash flow analysis. The aggregate fair value of the Company’s interest rate swap agreements was an asset of $48.8 million as of December 31, 2022 and was recorded between prepaid expenses and other current assets and other non-current assets in the accompanying consolidated balance sheets based upon the timing of the underlying expected cash flows. The aggregate fair value of the</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18" w:name="page119"/>
    <w:bookmarkEnd w:id="11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Company’s interest rate swap agreements was an asset of $5.5 million as of December 31, 2021 and was recorded between accrued expenses and other current liabilities and other non-current assets in the accompanying consolidated balance sheets based upon the timing of the underlying expected cash flows.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 entered into two interest rate swap agreements, each with a notional value of $250 million. Each of these swap agreements is with a different financial institution, and each swap requires the Company to pay a fixed interest rate of 3.435% in exchange for receiving one-month LIBOR for six months and one-month Term SOFR afterwards.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hedge agreements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2022, the Company had outstanding derivative contracts to purchase certain foreign currencies, including ILS, RON, and PLN at future dates. The amount of future salary expenses the Company had hedged was approximately $187.4 million, and all contracts are expected to mature during the upcoming 12 months. The aggregate fair value of the Company’s derivative contracts was a net liability of $5.3 million as of December 31, 2022 and was recorded in prepaid expenses and other current assets and accrued expenses and other current liabilities in the accompanying consolidated balance sheets. The aggregate fair value of the Company’s derivative contracts was an asset of $1.3 million as of December 31, 2021 and was recorded in prepaid expenses and other current assets in the accompanying consolidated balance sheets. In the second quarter of 2022, in conjunction with the announced closing of its Canadian operations, the Company terminated its derivative contract to purchase Canadian dollars resulting in an immaterial gain.</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assessment of goodwill and other intangible assets for impairment includes an assessment using various Level 2 (discount rate) and Level 3 (forecasted cash flows) inputs. See </w:t>
      </w:r>
      <w:r>
        <w:rPr>
          <w:rFonts w:ascii="Times New Roman" w:cs="Times New Roman" w:eastAsia="Times New Roman" w:hAnsi="Times New Roman"/>
          <w:sz w:val="18"/>
          <w:szCs w:val="18"/>
          <w:i w:val="1"/>
          <w:iCs w:val="1"/>
          <w:color w:val="auto"/>
        </w:rPr>
        <w:t>Note 1, Organization and Summary of Significant Accounting Policies,</w:t>
      </w:r>
      <w:r>
        <w:rPr>
          <w:rFonts w:ascii="Times New Roman" w:cs="Times New Roman" w:eastAsia="Times New Roman" w:hAnsi="Times New Roman"/>
          <w:sz w:val="18"/>
          <w:szCs w:val="18"/>
          <w:color w:val="auto"/>
        </w:rPr>
        <w:t xml:space="preserve"> for more information on the assessment for impairment of goodwill and of intangible assets other than goodwill,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measurement of the Company’s long-term debt at December 31, 2022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Face Value</w:t>
            </w:r>
          </w:p>
        </w:tc>
        <w:tc>
          <w:tcPr>
            <w:tcW w:w="100" w:type="dxa"/>
            <w:vAlign w:val="bottom"/>
          </w:tcPr>
          <w:p>
            <w:pPr>
              <w:spacing w:after="0"/>
              <w:rPr>
                <w:sz w:val="14"/>
                <w:szCs w:val="14"/>
                <w:color w:val="auto"/>
              </w:rPr>
            </w:pP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Face Value</w:t>
            </w:r>
          </w:p>
        </w:tc>
        <w:tc>
          <w:tcPr>
            <w:tcW w:w="100" w:type="dxa"/>
            <w:vAlign w:val="bottom"/>
          </w:tcPr>
          <w:p>
            <w:pPr>
              <w:spacing w:after="0"/>
              <w:rPr>
                <w:sz w:val="14"/>
                <w:szCs w:val="14"/>
                <w:color w:val="auto"/>
              </w:rPr>
            </w:pP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9" w:name="page120"/>
    <w:bookmarkEnd w:id="119"/>
    <w:p>
      <w:pPr>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assets and liabilities measured at fair value on a recurring basis in the Company’s consolidated balance sheet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0" w:type="dxa"/>
            <w:vAlign w:val="bottom"/>
          </w:tcPr>
          <w:p>
            <w:pPr>
              <w:spacing w:after="0"/>
              <w:rPr>
                <w:sz w:val="1"/>
                <w:szCs w:val="1"/>
                <w:color w:val="auto"/>
              </w:rPr>
            </w:pPr>
          </w:p>
        </w:tc>
      </w:tr>
      <w:tr>
        <w:trPr>
          <w:trHeight w:val="156"/>
        </w:trPr>
        <w:tc>
          <w:tcPr>
            <w:tcW w:w="602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13"/>
                <w:szCs w:val="13"/>
                <w:color w:val="auto"/>
              </w:rPr>
            </w:pPr>
          </w:p>
        </w:tc>
        <w:tc>
          <w:tcPr>
            <w:tcW w:w="1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10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Term deposits</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bank deposits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foreign currency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67" w:lineRule="exact"/>
        <w:rPr>
          <w:sz w:val="20"/>
          <w:szCs w:val="20"/>
          <w:color w:val="auto"/>
        </w:rPr>
      </w:pPr>
    </w:p>
    <w:p>
      <w:pPr>
        <w:ind w:left="260" w:right="1160"/>
        <w:spacing w:after="0" w:line="329" w:lineRule="auto"/>
        <w:rPr>
          <w:sz w:val="20"/>
          <w:szCs w:val="20"/>
          <w:color w:val="auto"/>
        </w:rPr>
      </w:pPr>
      <w:r>
        <w:rPr>
          <w:rFonts w:ascii="Times New Roman" w:cs="Times New Roman" w:eastAsia="Times New Roman" w:hAnsi="Times New Roman"/>
          <w:sz w:val="18"/>
          <w:szCs w:val="18"/>
          <w:color w:val="auto"/>
        </w:rPr>
        <w:t>Derivative instruments - foreign currency derivative contracts Derivative instruments -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8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7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8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7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8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90" w:lineRule="exact"/>
        <w:rPr>
          <w:sz w:val="20"/>
          <w:szCs w:val="20"/>
          <w:color w:val="auto"/>
        </w:rPr>
      </w:pPr>
    </w:p>
    <w:p>
      <w:pPr>
        <w:sectPr>
          <w:pgSz w:w="11900" w:h="16838" w:orient="portrait"/>
          <w:cols w:equalWidth="0" w:num="2">
            <w:col w:w="5880" w:space="720"/>
            <w:col w:w="4640"/>
          </w:cols>
          <w:pgMar w:left="320" w:top="1417" w:right="339" w:bottom="1440" w:gutter="0" w:footer="0" w:header="0"/>
          <w:type w:val="continuous"/>
        </w:sectPr>
      </w:pPr>
    </w:p>
    <w:p>
      <w:pPr>
        <w:spacing w:after="0" w:line="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cash equivalents and short-term bank deposits approximate fair value because of the short duration of these financial instruments.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interest rate swap contracts by discounting the future cash flows of both the fixed rate and variable rate interest payments based on market yield curves. The inputs used to measure the fair value of the Company’s interest rate swap contracts are categorized as Level 2 in the fair value hierarchy as established by ASC 820.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foreign currency contracts approximates the amount the Company would pay or receive if these contracts were settled at the respective valuation dates. The inputs used to measure the fair value of the Company’s foreign currency contracts are categorized as Level 2 in the fair value hierarchy as established by ASC 820.</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payable was valued using significant unobservable inputs (Level 3), was included in the general and administrative expenses in the Company’s consolidated statements of comprehensive income and consisted of the following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Recorded in connection with acquisition transactions</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Fair value adjustments based upon post-acquisition performance</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Recorded in connection with acquisition transaction</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978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Adjustment based on subsequent settlement agreement</w:t>
            </w:r>
            <w:r>
              <w:rPr>
                <w:rFonts w:ascii="Times New Roman" w:cs="Times New Roman" w:eastAsia="Times New Roman" w:hAnsi="Times New Roman"/>
                <w:sz w:val="23"/>
                <w:szCs w:val="23"/>
                <w:color w:val="auto"/>
                <w:vertAlign w:val="superscript"/>
              </w:rPr>
              <w:t>(1)</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Fair value adjustments based upon post-acquisition performance</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22"/>
          <w:szCs w:val="22"/>
          <w:color w:val="auto"/>
        </w:rPr>
        <w:t>_______</w:t>
      </w:r>
    </w:p>
    <w:p>
      <w:pPr>
        <w:spacing w:after="0" w:line="211"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Business Combinations,</w:t>
      </w:r>
      <w:r>
        <w:rPr>
          <w:rFonts w:ascii="Times New Roman" w:cs="Times New Roman" w:eastAsia="Times New Roman" w:hAnsi="Times New Roman"/>
          <w:sz w:val="18"/>
          <w:szCs w:val="18"/>
          <w:color w:val="auto"/>
        </w:rPr>
        <w:t xml:space="preserve"> for additional discussion.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2020, the Company reached an agreement with the former stockholders of Seriously on the early determination of value and settlement of the contingent consideration payable following the Company’s acquisition of Seriously in July 2019. The impact of this agreement has been recorded within the fair value adjustments for the year ended December 31, 2020.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its contingent consideration liabilities using probability-weighted discounted cash flow analyses. These fair value measurements are based on significant inputs not observable in the market and thus represent Level 3 measurements as defined in ASC 820. The extent to which the actual results differ from assumptions made within the probability-weighted analyses will result in adjustments to this liability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financial assets or liabilities measured at fair value as of December 31, 2022 and 2020.</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not elected the fair value measurement option available under U.S. GAAP for any of its assets or liabilities that meet the option for this criteria.</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16.</w:t>
        <w:tab/>
        <w:t>COMMITMENTS AND CONTINGENCIES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2016, a copywriter lawsuit was filed against Wooga GmbH (a subsidiary of the Company) in the regional court of Berlin, Germany. The Plaintiff is suing for additional remuneration to his contributions for a storyline provided for one of Wooga's games and alleged reuse of parts of that storyline in one of Wooga’s other games. As of December 31, 2022, the Company has recorded in its financial statements a reserve based upon its best estimate outcome. It is possible that any final amounts payable in connection with this lawsuit could exceed the Company’s currently reserved best estimate. The Company has defended this case vigorously and will continue to do so.</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2013, the Company’s subsidiary, Playtika, Ltd., sent an initial demand letter to Enigmatus s.r.o., a game developer in the Czech Republic, which owns various U.S. trademark registrations that resemble the Company’s Sloto-formative trademark names, demanding that it cease use of the trademark Slotopoly. In response, Enigmatus s.r.o. asserted that it was the owner of the Sloto-formative trademarks and denied that its game title infringed the Company’s trademarks. Enigmatus s.r.o. applied to register one of the Company’s trademarks in the United Kingdom and European Union, and the Company successfully opposed its applications. In December 2016, Enigmatus s.r.o., filed a trademark infringement lawsuit, Enigmatus, s.r.o. v. Playtika LTD and Caesars Interactive Entertainment, Inc., against Playtika, Ltd. and Caesars Interactive Entertainment LLC in the Federal Court of Canada asserting that the Company’s use of the Slotomania trademarks violates its proprietary and trademark rights. The plaintiff sought injunctive relief and monetary damages. Pleadings have been exchanged and the lawsuit is in the discovery stage. A hearing date for summary trial has been scheduled for June 27-29, 2023. The Company has defended this case vigorously and will continue to do so. As the case is in preliminary stages, the Company cannot estimate what impact, if any, the litigation may have on its results of operations, financial condition or cash flows.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23, 2021, the Company, its directors and certain of its officers were named in a putative class action lawsuit filed in the United States District Court for the Eastern District of New York (Bar-Asher v. Playtika Holding Corp. et al.). The complaint is allegedly brought on behalf of a class of purchasers of the Company’s securities between January 15, 2021 and November 2, 2021, and alleges violations of federal securities laws arising out of alleged misstatements or omissions by the defendants during the alleged class period. On March 10, 2022, the court appointed LBMotion Ltd as lead plaintiff, and the plaintiff filed an amended complaint on May 6, 2022. The amended complaint alleges violations of Section 11 and 15 of the Securities Act of 1933 and seeks, among other things, damages and attorneys’ fees and costs on behalf of the putative class. The amended complaint also added the companies that served as underwriters for the Company’s IPO as defendants in the lawsuit. On September 15, 2022, in accordance with local rules of the Court, the Company and other defendants in the case filed a letter notifying the Court of defendants’ service upon plaintiffs of, among other things, a notice of motion to dismiss plaintiffs’ amended complaint and memorandum of law in support of the defendants’ motion to dismiss plaintiffs’ amended complaint, and on November 30, 2022, the Company filed with the Court the motion to dismiss. As the case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preliminary stages, the Company cannot estimate what impact, if any, the litigation may have on its results of operations, financial condition or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defended this case vigorously and will continue to do so.</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17, 2022, Guy David Ben Yosef filed a motion for approval of a class action lawsuit in district court in Tel Aviv-Jaffa Israel against Playtika Group Israel Ltd. (“PGI”), on behalf of all of PGI’s customers who made game token purchases in Israel as part of games marketed by PGI during the seven years preceding the filing of the motion and for all subsequent customers of such games who purchase tokens until the resolution of the claim. The motion alleges that certain of the Company’s slot, poker and solitaire-themed games, including Slotomania, Caesars Slots, Solitaire Grand Harvest, House of Fun and Poker Heat, constitute illegal gambling and are prohibited under Israeli law and are misleading under Israeli consumer protection laws and alleges unjust enrichment. The motion asserts damages of NIS 50 million. In January 2023, PGI filed its response to the plantiff’s motion, and a pre-trial hearing is set for March 19, 2023. As the case is in preliminary stages, the Company cannot estimate what impact, if any, the litigation may have on its results of operations, financial condition or cash flows. The Company will defend this case vigorously.</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received a number of demand letters pursuant to Section 220 of the Delaware General Corporation Law (“DGCL”), seeking disclosure of certain of the Company’s books and records. The Company has responded to those demands, stating its belief that the demand letters fail to fully comply with the requirements of Section 220 of the DGCL. However, in the interest of resolution and while preserving all rights, the Company has engaged in negotiations with certain of the shareholders and has produced materials in relation to the demands.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seven demands for arbitration in late 2022 and early 2023 alleging that its games constitute illegal gambling under applicable state law. As the arbitrations are in preliminary stages, the Company cannot estimate what impact, if any, the litigation may have on its results of operations, financial condition or cash flows. The Company will defend this case vigorously.</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17.</w:t>
        <w:tab/>
        <w:t>REVENUE FROM CONTRACTS WITH CUSTOMERS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by geographic location of the Company's players and type of platform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Platform type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Mobile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1,907.6</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Web</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Revenues through third-party platforms and through the Company’s own Direct-to-Consumer platforms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Third-party platforms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from players for virtual items are collected by platform providers or payment processors and remitted to the Company (net of the platform or clearing fees) generally within 45 days after the player transaction. The Company’s right to receive the payments collected by the platform providers or payment processors is recorded as an accounts receivable as the right to receive 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Balances of the Company’s contract assets and liabilities are as follows (in millions):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30"/>
        </w:trPr>
        <w:tc>
          <w:tcPr>
            <w:tcW w:w="8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8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22"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Contract assets are included within prepaid expenses and other current assets as “deferred charges” in the Company’s consolidated balance sheets.</w:t>
      </w:r>
    </w:p>
    <w:p>
      <w:pPr>
        <w:spacing w:after="0" w:line="1" w:lineRule="exact"/>
        <w:rPr>
          <w:rFonts w:ascii="Times New Roman" w:cs="Times New Roman" w:eastAsia="Times New Roman" w:hAnsi="Times New Roman"/>
          <w:sz w:val="23"/>
          <w:szCs w:val="23"/>
          <w:color w:val="auto"/>
          <w:vertAlign w:val="superscript"/>
        </w:rPr>
      </w:pPr>
    </w:p>
    <w:p>
      <w:pPr>
        <w:ind w:left="660" w:right="20" w:hanging="652"/>
        <w:spacing w:after="0" w:line="219" w:lineRule="auto"/>
        <w:tabs>
          <w:tab w:leader="none" w:pos="332"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Contract liabilities are included within accrued expenses and other current liabilities as “deferred revenues” in the Company’s consolidated balance sheets.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 Company recognized all of its contract liabilities balance as of December 31,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Unsatisfied performance obligations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unsatisfied performance obligations relate to contracts with an original expected length of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operates its business as one operating segment and one reportable segment.</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long-lived assets, net, by country of domicile are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9"/>
        </w:trPr>
        <w:tc>
          <w:tcPr>
            <w:tcW w:w="8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Israel</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Ukraine</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8"/>
        </w:trPr>
        <w:tc>
          <w:tcPr>
            <w:tcW w:w="82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long-lived assets, net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APPRECIATION AND RETENTION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2019, the Board approved the 2021-2024 Retention Plan. Under the 2021-2024 Retention Plan, eligible employees may be granted retention awards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Retention Plan Adjusted EBITDA in each of the plan years, determined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2021, (A) 14% of the 2021-2024 Retention Plan Adjusted EBITDA for such calendar year, less (B) $25,000,000.</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2022, (A) 14.5% of the 2021-2024 Retention Plan Adjusted EBITDA for such calendar year, less (B) $25,000,000.</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each of 2023 and 2024, (A) 15.0% of the 2021-2024 Retention Plan Adjusted EBITDA for such calendar year, less (B) $25,000,000.</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Initial awards were granted under the 2021-2024 Retention Plan in August 2019, with subsequent awards to employees or consultants hired or retained after such date granted at the discretion of the administrator. Complete disclosure surrounding this plan and executive compensation can be found in the Company’s proxy statement.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participants, in the event of the participant’s termination without cause or resignation for good reason, or termination by reason of death or disability, he or she will be eligible to receive a lump sum cash payment equal to his or her proportionate share (based on the number of retention units outstanding and eligible for payment as of such date) of the unpaid portion of the total retention pool for the remaining term of the 2021-2024 Retention Plan as of the date of termination, which amount shall be paid in cash within 60 days following the date of termination. In the event of such a termination, such participant will also remain eligible to receive payments in respect of his or her appreciation units for all vesting dates that have not yet occurred prior to the date of such termination, which payments will be made as and when such payments are made to other appreciation unit holders.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other participants, in the event of termination due to death or disability on or after January 1, 2021, but prior to December 31, 2024, the participant will receive a payment in respect of his or her proportionate share (based on the number of retention units outstanding and eligible for payment as of such date) of the unpaid portion of the total retention pool for the remaining term of the 2021-2024 Retention Plan as of the date of termination, pro-rated for the portion of the period between January 1, 2021 and December 31, 2024 that has elapsed prior to termination, payable within 60 days following termination. In addition, the participant will retain the right to receive payments for a pro-rated portion of his or her appreciation units for all vesting dates that have not yet occurred prior to the date of such termination, which payments will be made as and when such payments are made to other appreciation unit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payments triggered by a termination of employment or service will be subject to the execution of a general release of claims in favor of the company. If a participant terminates service for any reason other than as described above, the participant will immediately forfeit all unearned benefits related to his or her unvested retention units and appreciation units.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2020, 43,000 appreciation units held under the 2021-2024 Retention Plan were cancelled. Pursuant to an amendment to the 2021-2024 Retention Plan adopted in October 2020, these cancelled appreciation units are considered “retired units” for purposes of the plan, and will be deemed to be outstanding and eligible for payment solely for purposes of determining the per unit value to be paid to participants, but no amounts will be paid with respect to such retired units.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Retention Plan Adjusted EBITDA represents Credit Adjusted EBITDA further adjusted to reflect certain elements of cash-based compensation including retention unit awards and appreciation unit awards under the 2021-2024 Plan and retention awards to key individuals with acquired companies.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recognized compensation expenses in respect of retention bonus and appreciation unit awards under the 2021-2024 Plan of $106.2 million and $112.7 million during the years ended December 31, 2022 and 2021, respectively, and under the 2017-2020 Plan of $67.6 million during the year ended December 31, 2020.</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also granted retention awards to key individuals associated with acquired companies as an incentive to retain those individuals on a long-term basis. The Company recognized compensation expenses associated with these development-related retention payments of $7.7 million, $21.3 million and $15.1 million for the years ended December 31, 2022, 2021 and 2020, respectively.</w:t>
      </w:r>
    </w:p>
    <w:p>
      <w:pPr>
        <w:spacing w:after="0" w:line="18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20.</w:t>
        <w:tab/>
        <w:t>INTEREST EXPENSE AND OTHER, NET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other,  net  for</w:t>
            </w:r>
          </w:p>
        </w:tc>
        <w:tc>
          <w:tcPr>
            <w:tcW w:w="3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the  years  ended  December  31,  2022,</w:t>
            </w: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2021  and  2020,</w:t>
            </w: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are  as  follows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millions):</w:t>
            </w:r>
          </w:p>
        </w:tc>
      </w:tr>
      <w:tr>
        <w:trPr>
          <w:trHeight w:val="473"/>
        </w:trPr>
        <w:tc>
          <w:tcPr>
            <w:tcW w:w="3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23"/>
        </w:trPr>
        <w:tc>
          <w:tcPr>
            <w:tcW w:w="332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3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differences, net</w:t>
            </w:r>
          </w:p>
        </w:tc>
        <w:tc>
          <w:tcPr>
            <w:tcW w:w="3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3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interest expense and other, net</w:t>
            </w:r>
          </w:p>
        </w:tc>
        <w:tc>
          <w:tcPr>
            <w:tcW w:w="3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Deferred taxes reflect the net tax effect of temporary differences between the carrying amounts of assets and liabilities for financial reporting purposes and the amounts recorded for tax purposes. Significant components of the Company's deferred tax assets and liabilities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employee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Valuation allowances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23"/>
        </w:trPr>
        <w:tc>
          <w:tcPr>
            <w:tcW w:w="82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taxes are reported in the accompanying consolidated balance sheets as follows (in millions):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deferred tax (liabilities)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available evidence, management believes it is not more-likely-than-not that $39.4 million U.S. and Israel deferred tax assets will be fully realizable. Accordingly, in those jurisdictions, the Company has recorded a valuation allowance against these assets. The Company regularly reviews the deferred tax assets for recoverability based on all of the available positive and negative evidence, with a focus on historical taxable income, projected future taxable income, the expected timing of the reversals of existing taxable temporary differences and tax planning strategies by jurisdiction.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second quarter of 2019, the Company considered the earnings in all its non-U.S. subsidiaries to be indefinitely reinvested and accordingly, recorded no deferred income taxes associated with such earnings. During the second quarter of 2019, the Company reevaluated its historic assertion and no longer considered the earnings of certain of its non-U.S. subsidiaries to be indefinitely reinvested since the cash generated from some of the foreign subsidiaries will be used to</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26" w:name="page127"/>
    <w:bookmarkEnd w:id="126"/>
    <w:p>
      <w:pPr>
        <w:jc w:val="both"/>
        <w:spacing w:after="0" w:line="254" w:lineRule="auto"/>
        <w:rPr>
          <w:sz w:val="20"/>
          <w:szCs w:val="20"/>
          <w:color w:val="auto"/>
        </w:rPr>
      </w:pPr>
      <w:r>
        <w:rPr>
          <w:rFonts w:ascii="Times New Roman" w:cs="Times New Roman" w:eastAsia="Times New Roman" w:hAnsi="Times New Roman"/>
          <w:sz w:val="18"/>
          <w:szCs w:val="18"/>
          <w:color w:val="auto"/>
        </w:rPr>
        <w:t>service debt in the United States. As a result of the change in assertion, the impact of a repatriation of the undistributed earnings resulted in recording a deferred tax liability consisting of potential withholding and distribution taxes of $41.7 million as of December 31, 2019. For the year ended December 31, 2020, the Company accrued an additional $4.5 million of deferred tax liability. Such deferred taxes were recognized as tax expense. As a result of the amendment to the Credit Agreement in 2021, primarily a reduction in the interest rate, in addition to other considerations, the Company had reevaluated its assertion and considered the earnings of all its non-U.S. subsidiaries to be indefinitely reinvested. For the year ended December 31, 2021, the Company reversed the previously accrued deferred tax liability and recognized $46.2 million of tax benefit. As of December 31, 2022, the Company continues to assert that the undistributed earnings of its non-U.S. subsidiaries will be indefinitely reinvested. The determination of the amount of any deferred income or withholding tax liability on these earnings is not practicable because of the complexities of the hypothetical calculation.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 carry-forwards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net operating loss carryforwards in certain jurisdictions, including Israel, Finland, and the U.S. of $121.7 million, $27.7 million, and $10.8 million, respectively. The net operating losses in Israel and the U.S. are carried forward indefinitely. The net operating losses in the Finland expire from 2031 through 2032.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income tax return is subject to examination by federal, state and non-U.S. tax authorities. The 2019 through 2021 U.S. federal income tax filings are currently open tax years available for examination by the IRS. U.S. state tax jurisdictions have statutes of limitation generally ranging from three to five years, with the earliest open tax year for the Company being 2017. Years still open to examination by tax authorities in Israel, which is the main jurisdiction other than the U.S. are 2017 through 2021. The Israeli tax authorities are currently examining tax years 2017 through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 is comprised as follows (in millions):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(U.S.)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Income before taxes on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 reconciliations: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9"/>
          </w:tcPr>
          <w:p>
            <w:pPr>
              <w:ind w:left="96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tax rate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“Preferred Technology Enterprise” status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GILTI and Foreign adjustments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Repatriation of undistributed dividends</w:t>
            </w:r>
          </w:p>
        </w:tc>
        <w:tc>
          <w:tcPr>
            <w:tcW w:w="200" w:type="dxa"/>
            <w:vAlign w:val="bottom"/>
          </w:tcPr>
          <w:p>
            <w:pPr>
              <w:spacing w:after="0"/>
              <w:rPr>
                <w:sz w:val="19"/>
                <w:szCs w:val="19"/>
                <w:color w:val="auto"/>
              </w:rPr>
            </w:pPr>
          </w:p>
        </w:tc>
        <w:tc>
          <w:tcPr>
            <w:tcW w:w="13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Return-To-Provision Adjustments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6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certain of its Israeli subsidiaries qualify as Preferred Technology Enterprises, entitled to a special tax track, under the Israeli Investment Law, 5719-1959 (the “Investment Law”) and accordingly are eligible for a reduced corporate tax rate of 12% on their preferred technology income, as defined in the Investment Law, beginning from tax year 2017 and onwards. A Preferred Technology Enterprise becomes a Special Preferred Technology Enterprise and is entitled to a reduced corporate tax rate of 6% on their preferred technology income when the worldwide revenues reach ILS 10 billion annually. The Company expects that the Israeli subsidiaries qualifying as Preferred Technology Enterprises in the current year will continue to qualify as Preferred Technology Enterprises or become Special Preferred Technology Enterprises in subsequent tax years. Income not eligible for Preferred Technology Enterprise benefits is taxed at the regular corporate tax rate at 23% beginning in 2018. Non-Israeli subsidiaries are taxed according to the tax laws in their respective countries of residence. During the fourth quarter of 2022, the Company received an assessment from the Israel Tax Authority asserting that a smaller proportion of the Company’s 2017 earnings qualified for reduced tax rates under the Preferred Technology Enterprise regime than what the Company had asserted on its tax return. Applying this same assertion to all open tax years 2017 through 2022, the assessment results in an aggregate exposure of approximately $120 million more income tax than what the Company has included on its prior tax returns for 2017 through 2021, or expects to include on its upcoming 2022 tax return. The Company intends to appeal this assessment and believes that its associated reserves are adequate. However, it is possible that any final amounts payable in connection with this tax assessment could exceed the Company’s current reserves.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is comprised as follows (in millions):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668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(U.S.)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48"/>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8" w:name="page129"/>
    <w:bookmarkEnd w:id="128"/>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opening and closing balances of total unrecognized tax benefits is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8220" w:type="dxa"/>
            <w:vAlign w:val="bottom"/>
          </w:tcPr>
          <w:p>
            <w:pPr>
              <w:spacing w:after="0"/>
              <w:rPr>
                <w:sz w:val="23"/>
                <w:szCs w:val="23"/>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3"/>
                <w:szCs w:val="23"/>
                <w:color w:val="auto"/>
              </w:rPr>
            </w:pPr>
          </w:p>
        </w:tc>
      </w:tr>
      <w:tr>
        <w:trPr>
          <w:trHeight w:val="27"/>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Increases in respect of tax positions related to the current year</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Increases in respect of tax positions related to prior years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Increases in respect to exchange rate fluctuations</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Reductions in respect of settlements with authorities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Reductions in respect of expirations of statute of limitations</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Reductions in respect of tax positions related to prior years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Reductions in respect of exchange rate fluctuations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Included in the balance of total unrecognized tax benefits at December 31, 2022 is $100.5 million of tax benefits that if recognized, would affect the Company’s effective tax rate. The balance of the accrual relating to interest and penalties as of December 31, 2022 is $13.4 million. The Company believes that it is reasonably possible that the total amount of unrecognized tax benefits could change significantly within 12 months of the reporting date as a result of the open examination in Israel for the tax years ended 2017 through 2020. The nature of this uncertainty primarily relates to the qualification of certain income under the Preferred Technology Enterprise tax regime in Israel. However, a reasonable estimate of the range of possible changes cannot be made at this time.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2022, the Company has a gross unrecognized tax benefit liability in Israel of $140.2 million associated with potential transfer pricing adjustments. The Company estimates this liability will be reduced by $123.5 million from offsetting unrecognized tax benefits in the U.S., the United Kingdom, and Austria associated with correlative effects of potential transfer pricing adjustments. The Company netted these amounts in previous financial statements as discussed in </w:t>
      </w:r>
      <w:r>
        <w:rPr>
          <w:rFonts w:ascii="Times New Roman" w:cs="Times New Roman" w:eastAsia="Times New Roman" w:hAnsi="Times New Roman"/>
          <w:sz w:val="18"/>
          <w:szCs w:val="18"/>
          <w:i w:val="1"/>
          <w:iCs w:val="1"/>
          <w:color w:val="auto"/>
        </w:rPr>
        <w:t>Note 1, Organization and Summary of Significant Accounting Policies</w:t>
      </w:r>
      <w:r>
        <w:rPr>
          <w:rFonts w:ascii="Times New Roman" w:cs="Times New Roman" w:eastAsia="Times New Roman" w:hAnsi="Times New Roman"/>
          <w:sz w:val="18"/>
          <w:szCs w:val="18"/>
          <w:color w:val="auto"/>
        </w:rPr>
        <w:t>. The applicable guidance prohibits offsetting with regards to the unrecognized tax benefit reconciliation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changes in accumulated other comprehensive income (loss), net of tax, for the respective periods (in millions):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520" w:hanging="242"/>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520" w:hanging="242"/>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60" w:type="dxa"/>
            <w:vAlign w:val="bottom"/>
          </w:tcPr>
          <w:p>
            <w:pPr>
              <w:spacing w:after="0"/>
              <w:rPr>
                <w:sz w:val="17"/>
                <w:szCs w:val="17"/>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320" w:type="dxa"/>
            <w:vAlign w:val="bottom"/>
          </w:tcPr>
          <w:p>
            <w:pPr>
              <w:spacing w:after="0"/>
              <w:rPr>
                <w:sz w:val="15"/>
                <w:szCs w:val="15"/>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220" w:type="dxa"/>
            <w:vAlign w:val="bottom"/>
          </w:tcPr>
          <w:p>
            <w:pPr>
              <w:spacing w:after="0"/>
              <w:rPr>
                <w:sz w:val="21"/>
                <w:szCs w:val="21"/>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-1319530</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-1019810</wp:posOffset>
            </wp:positionV>
            <wp:extent cx="7132320"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-599440</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-187960</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460"/>
            <w:col w:w="6080"/>
          </w:cols>
          <w:pgMar w:left="320" w:top="1413" w:right="339" w:bottom="1440" w:gutter="0" w:footer="0" w:header="0"/>
          <w:type w:val="continuous"/>
        </w:sectPr>
      </w:pP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interest rate swaps and foreign currency derivative contracts were net of $10.0 million of tax expense and $1.0 million of tax benefit, respectively. For the year ended December 31, 2021, interest rate swaps were net of $1.3 million of tax expense.</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NET INCOME ATTRIBUTABLE TO ORDINARY STOCKHOLDERS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ordinary stockholders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stockholders, basic</w:t>
            </w: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155"/>
        </w:trPr>
        <w:tc>
          <w:tcPr>
            <w:tcW w:w="66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stockholders, diluted</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outstanding employee equity awards were excluded from the calculation of diluted net income per share because their effect would have been anti-dilutive for the periods presented (in millions):</w:t>
      </w:r>
    </w:p>
    <w:p>
      <w:pPr>
        <w:spacing w:after="0" w:line="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 awards that were deemed to be anti-dilutive and were modified in the Option Exchange are included in table above for the period they were outstanding in 2022 prior to the Option Exchange. In addition, 2.4 million PSUs were excluded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calculation of diluted net income per share for the year ended December 31, 2022 because the minimum performance measures have not yet been met.</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24.</w:t>
        <w:tab/>
        <w:t>SUBSEQUENT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evaluates subsequent events through the date of issuance of the consolidated financial statements. There have been no subsequent events that occurred during such period that would require adjustment to or disclosure in the consolidated financial statements as of and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FINANCIAL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2022, the end of the period covered by this Annual Report on Form 10-K. Based upon that evaluation, our Chief Executive Officer and Chief Financial Officer concluded that our disclosure controls and procedures were effective at the reasonable assurance level as of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2022, based on criteria established in Internal Control — Integrated Framework (2013) issued by the Committee of Sponsoring Organizations of the Treadway Commission. Based on this evaluation, our management concluded that our internal control over financial reporting was effective as of December 31, 2022.</w:t>
      </w:r>
    </w:p>
    <w:p>
      <w:pPr>
        <w:spacing w:after="0" w:line="20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2022 has been audited by Kost Forer Gabbay &amp; Kasierer, a member of Ernst &amp; Young Global, our independent registered public accounting firm, as stated in their report in Part II, Item 8 of this Annual Report on Form 10-K.</w:t>
      </w:r>
    </w:p>
    <w:p>
      <w:pPr>
        <w:spacing w:after="0" w:line="1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regarding the members of our Board of Directors and our audit committee, including our audit committee financial expert, will be included in our definitive Proxy Statement to be filed with the SEC in connection with our 2023 annual meeting of stockholders (the “Proxy Statement”) under the headings “Corporate Governance,” “Executive Officers,” “Election of Directors” and “Ownership of Securities,” and is incorporated herein by reference.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applicable to all of our employees (including our principal executive officer, principal financial officer and principal accounting officer). The code of ethics is designed to deter wrongdoing and to promote honest and ethical conduct and compliance with applicable laws and regulations. The full text of our code of ethics is published in the “Investors-Governance” section of our website at https://investors.playtika.com/corporate-governance/documents-and-charters.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under the headings “Director Compensation” and “Executive Compensation,” and is incorporated herein by reference.</w:t>
      </w:r>
    </w:p>
    <w:p>
      <w:pPr>
        <w:spacing w:after="0" w:line="185" w:lineRule="exact"/>
        <w:rPr>
          <w:sz w:val="20"/>
          <w:szCs w:val="20"/>
          <w:color w:val="auto"/>
        </w:rPr>
      </w:pPr>
    </w:p>
    <w:p>
      <w:pPr>
        <w:ind w:left="980" w:right="2720" w:hanging="1295"/>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security ownership of certain beneficial owners will be included in the Proxy Statement under the heading “Ownership of Securities,” and is incorporated herein by reference.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under the headings “Certain Relationships and Related Transactions” and “Corporate Governance,” and is incorporated herein by reference.</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under the heading “Independent Registered Public Accounting Firm” and is incorporated herein by reference.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2"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(a)(1)</w:t>
        <w:tab/>
        <w:t>Playtika Holding Corp. Consolidated Financial Statements (including related notes to Consolidated Financial Statements) filed in Part II, Item 8 of this report are listed below: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Reports of Independent Registered Public Accounting Firm</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Balance Sheets as of December 31, 2022 and 2021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Statements of Comprehensive Income for the years ended December 31, 2022, 2021 and 2020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Statements of Stockholders’ Equity for the years ended December 31, 2022, 2021 and 2020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Statements of Cash Flows for the years ended December 31, 2022, 2021 and 2020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Notes to Consolidated Financial Statements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33" w:name="page134"/>
    <w:bookmarkEnd w:id="133"/>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(a)(2)</w:t>
      </w:r>
      <w:r>
        <w:rPr>
          <w:sz w:val="20"/>
          <w:szCs w:val="20"/>
          <w:color w:val="auto"/>
        </w:rPr>
        <w:tab/>
      </w:r>
      <w:r>
        <w:rPr>
          <w:rFonts w:ascii="Times New Roman" w:cs="Times New Roman" w:eastAsia="Times New Roman" w:hAnsi="Times New Roman"/>
          <w:sz w:val="17"/>
          <w:szCs w:val="17"/>
          <w:b w:val="1"/>
          <w:bCs w:val="1"/>
          <w:color w:val="auto"/>
        </w:rPr>
        <w:t>Schedule II - Valuation and Qualifying Accounts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the required information is otherwise included.</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PLAYTIKA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Balance at End of</w:t>
            </w:r>
          </w:p>
        </w:tc>
        <w:tc>
          <w:tcPr>
            <w:tcW w:w="0" w:type="dxa"/>
            <w:vAlign w:val="bottom"/>
          </w:tcPr>
          <w:p>
            <w:pPr>
              <w:spacing w:after="0"/>
              <w:rPr>
                <w:sz w:val="1"/>
                <w:szCs w:val="1"/>
                <w:color w:val="auto"/>
              </w:rPr>
            </w:pPr>
          </w:p>
        </w:tc>
      </w:tr>
      <w:tr>
        <w:trPr>
          <w:trHeight w:val="21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valuation allowance:</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(a)(3)</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0980"/>
          </w:cols>
          <w:pgMar w:left="320" w:top="1413" w:right="599" w:bottom="1440" w:gutter="0" w:footer="0" w:header="0"/>
        </w:sect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3.1</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3.2</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4.1</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4.2</w:t>
      </w: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4.3</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4.4</w:t>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4.5</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4.6</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10.2#</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10.3#</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10.4#</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10.5#</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10.6#</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10.7#</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10.8#</w:t>
      </w:r>
    </w:p>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10.9#</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10.10#</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10.11#</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10.12#</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10.13#</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10.14#</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10.15#</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10.16#</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376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2700" w:type="dxa"/>
            <w:vAlign w:val="bottom"/>
          </w:tcPr>
          <w:p>
            <w:pPr>
              <w:jc w:val="center"/>
              <w:ind w:left="1988"/>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6"/>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700" w:type="dxa"/>
            <w:vAlign w:val="bottom"/>
          </w:tcPr>
          <w:p>
            <w:pPr>
              <w:jc w:val="center"/>
              <w:ind w:left="1988"/>
              <w:spacing w:after="0" w:line="146"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3260" w:type="dxa"/>
            <w:vAlign w:val="bottom"/>
            <w:vMerge w:val="continue"/>
          </w:tcPr>
          <w:p>
            <w:pPr>
              <w:spacing w:after="0"/>
              <w:rPr>
                <w:sz w:val="16"/>
                <w:szCs w:val="16"/>
                <w:color w:val="auto"/>
              </w:rPr>
            </w:pPr>
          </w:p>
        </w:tc>
        <w:tc>
          <w:tcPr>
            <w:tcW w:w="2700" w:type="dxa"/>
            <w:vAlign w:val="bottom"/>
          </w:tcPr>
          <w:p>
            <w:pPr>
              <w:jc w:val="center"/>
              <w:ind w:left="198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7620</wp:posOffset>
            </wp:positionV>
            <wp:extent cx="7132320"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0" w:lineRule="exact"/>
        <w:rPr>
          <w:sz w:val="20"/>
          <w:szCs w:val="20"/>
          <w:color w:val="auto"/>
        </w:rPr>
      </w:pPr>
    </w:p>
    <w:p>
      <w:pPr>
        <w:ind w:right="1040"/>
        <w:spacing w:after="0" w:line="282" w:lineRule="auto"/>
        <w:rPr>
          <w:rFonts w:ascii="Times New Roman" w:cs="Times New Roman" w:eastAsia="Times New Roman" w:hAnsi="Times New Roman"/>
          <w:sz w:val="14"/>
          <w:szCs w:val="14"/>
          <w:u w:val="single" w:color="auto"/>
          <w:color w:val="0000FF"/>
        </w:rPr>
      </w:pPr>
      <w:hyperlink r:id="rId166">
        <w:r>
          <w:rPr>
            <w:rFonts w:ascii="Times New Roman" w:cs="Times New Roman" w:eastAsia="Times New Roman" w:hAnsi="Times New Roman"/>
            <w:sz w:val="14"/>
            <w:szCs w:val="14"/>
            <w:u w:val="single" w:color="auto"/>
            <w:color w:val="0000FF"/>
          </w:rPr>
          <w:t>Amended and Restated Certificate of Incorporation (incorporated herein by reference to Exhibit 3.1 to the Company’s Current Report on Form 8-K, as</w:t>
        </w:r>
      </w:hyperlink>
      <w:r>
        <w:rPr>
          <w:rFonts w:ascii="Times New Roman" w:cs="Times New Roman" w:eastAsia="Times New Roman" w:hAnsi="Times New Roman"/>
          <w:sz w:val="14"/>
          <w:szCs w:val="14"/>
          <w:u w:val="single" w:color="auto"/>
          <w:color w:val="0000FF"/>
        </w:rPr>
        <w:t xml:space="preserve"> </w:t>
      </w:r>
      <w:hyperlink r:id="rId166">
        <w:r>
          <w:rPr>
            <w:rFonts w:ascii="Times New Roman" w:cs="Times New Roman" w:eastAsia="Times New Roman" w:hAnsi="Times New Roman"/>
            <w:sz w:val="14"/>
            <w:szCs w:val="14"/>
            <w:u w:val="single" w:color="auto"/>
            <w:color w:val="0000FF"/>
          </w:rPr>
          <w:t>filed with the SEC on January 20, 2021)</w:t>
        </w:r>
      </w:hyperlink>
    </w:p>
    <w:p>
      <w:pPr>
        <w:spacing w:after="0" w:line="13" w:lineRule="exact"/>
        <w:rPr>
          <w:sz w:val="20"/>
          <w:szCs w:val="20"/>
          <w:color w:val="auto"/>
        </w:rPr>
      </w:pPr>
    </w:p>
    <w:p>
      <w:pPr>
        <w:ind w:right="1100"/>
        <w:spacing w:after="0" w:line="281" w:lineRule="auto"/>
        <w:rPr>
          <w:rFonts w:ascii="Times New Roman" w:cs="Times New Roman" w:eastAsia="Times New Roman" w:hAnsi="Times New Roman"/>
          <w:sz w:val="14"/>
          <w:szCs w:val="14"/>
          <w:u w:val="single" w:color="auto"/>
          <w:color w:val="0000FF"/>
        </w:rPr>
      </w:pPr>
      <w:hyperlink r:id="rId167">
        <w:r>
          <w:rPr>
            <w:rFonts w:ascii="Times New Roman" w:cs="Times New Roman" w:eastAsia="Times New Roman" w:hAnsi="Times New Roman"/>
            <w:sz w:val="14"/>
            <w:szCs w:val="14"/>
            <w:u w:val="single" w:color="auto"/>
            <w:color w:val="0000FF"/>
          </w:rPr>
          <w:t>Amended and Restated Bylaws (incorporated herein by reference to Exhibit 3.2 to the Company’s Current Report on Form 8-K, as filed with the SEC</w:t>
        </w:r>
      </w:hyperlink>
      <w:r>
        <w:rPr>
          <w:rFonts w:ascii="Times New Roman" w:cs="Times New Roman" w:eastAsia="Times New Roman" w:hAnsi="Times New Roman"/>
          <w:sz w:val="14"/>
          <w:szCs w:val="14"/>
          <w:u w:val="single" w:color="auto"/>
          <w:color w:val="0000FF"/>
        </w:rPr>
        <w:t xml:space="preserve"> </w:t>
      </w:r>
      <w:hyperlink r:id="rId167">
        <w:r>
          <w:rPr>
            <w:rFonts w:ascii="Times New Roman" w:cs="Times New Roman" w:eastAsia="Times New Roman" w:hAnsi="Times New Roman"/>
            <w:sz w:val="14"/>
            <w:szCs w:val="14"/>
            <w:u w:val="single" w:color="auto"/>
            <w:color w:val="0000FF"/>
          </w:rPr>
          <w:t>on January 20, 2021)</w:t>
        </w:r>
      </w:hyperlink>
    </w:p>
    <w:p>
      <w:pPr>
        <w:spacing w:after="0" w:line="1" w:lineRule="exact"/>
        <w:rPr>
          <w:sz w:val="20"/>
          <w:szCs w:val="20"/>
          <w:color w:val="auto"/>
        </w:rPr>
      </w:pPr>
    </w:p>
    <w:p>
      <w:pPr>
        <w:ind w:right="1080"/>
        <w:spacing w:after="0" w:line="251" w:lineRule="auto"/>
        <w:rPr>
          <w:rFonts w:ascii="Times New Roman" w:cs="Times New Roman" w:eastAsia="Times New Roman" w:hAnsi="Times New Roman"/>
          <w:sz w:val="14"/>
          <w:szCs w:val="14"/>
          <w:u w:val="single" w:color="auto"/>
          <w:color w:val="0000FF"/>
        </w:rPr>
      </w:pPr>
      <w:hyperlink r:id="rId168">
        <w:r>
          <w:rPr>
            <w:rFonts w:ascii="Times New Roman" w:cs="Times New Roman" w:eastAsia="Times New Roman" w:hAnsi="Times New Roman"/>
            <w:sz w:val="14"/>
            <w:szCs w:val="14"/>
            <w:u w:val="single" w:color="auto"/>
            <w:color w:val="0000FF"/>
          </w:rPr>
          <w:t>Form of Certificate of Common Stock (incorporated herein by reference to Exhibit 4.1 to the Company’s Registration Statement on Form S-1, as filed</w:t>
        </w:r>
      </w:hyperlink>
      <w:r>
        <w:rPr>
          <w:rFonts w:ascii="Times New Roman" w:cs="Times New Roman" w:eastAsia="Times New Roman" w:hAnsi="Times New Roman"/>
          <w:sz w:val="14"/>
          <w:szCs w:val="14"/>
          <w:u w:val="single" w:color="auto"/>
          <w:color w:val="0000FF"/>
        </w:rPr>
        <w:t xml:space="preserve"> </w:t>
      </w:r>
      <w:hyperlink r:id="rId168">
        <w:r>
          <w:rPr>
            <w:rFonts w:ascii="Times New Roman" w:cs="Times New Roman" w:eastAsia="Times New Roman" w:hAnsi="Times New Roman"/>
            <w:sz w:val="14"/>
            <w:szCs w:val="14"/>
            <w:u w:val="single" w:color="auto"/>
            <w:color w:val="0000FF"/>
          </w:rPr>
          <w:t>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040"/>
        <w:spacing w:after="0" w:line="261" w:lineRule="auto"/>
        <w:rPr>
          <w:rFonts w:ascii="Times New Roman" w:cs="Times New Roman" w:eastAsia="Times New Roman" w:hAnsi="Times New Roman"/>
          <w:sz w:val="14"/>
          <w:szCs w:val="14"/>
          <w:u w:val="single" w:color="auto"/>
          <w:color w:val="0000FF"/>
        </w:rPr>
      </w:pPr>
      <w:hyperlink r:id="rId170">
        <w:r>
          <w:rPr>
            <w:rFonts w:ascii="Times New Roman" w:cs="Times New Roman" w:eastAsia="Times New Roman" w:hAnsi="Times New Roman"/>
            <w:sz w:val="14"/>
            <w:szCs w:val="14"/>
            <w:u w:val="single" w:color="auto"/>
            <w:color w:val="0000FF"/>
          </w:rPr>
          <w:t>Equity Plan Stockholders Agreement, dated June 26, 2020, by and between Playtika Holding Corp. and certain of its stockholders (incorporated herein</w:t>
        </w:r>
      </w:hyperlink>
      <w:r>
        <w:rPr>
          <w:rFonts w:ascii="Times New Roman" w:cs="Times New Roman" w:eastAsia="Times New Roman" w:hAnsi="Times New Roman"/>
          <w:sz w:val="14"/>
          <w:szCs w:val="14"/>
          <w:u w:val="single" w:color="auto"/>
          <w:color w:val="0000FF"/>
        </w:rPr>
        <w:t xml:space="preserve"> </w:t>
      </w:r>
      <w:hyperlink r:id="rId170">
        <w:r>
          <w:rPr>
            <w:rFonts w:ascii="Times New Roman" w:cs="Times New Roman" w:eastAsia="Times New Roman" w:hAnsi="Times New Roman"/>
            <w:sz w:val="14"/>
            <w:szCs w:val="14"/>
            <w:u w:val="single" w:color="auto"/>
            <w:color w:val="0000FF"/>
          </w:rPr>
          <w:t>by reference to Exhibit 4.2 to the Company’s 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-1270</wp:posOffset>
            </wp:positionV>
            <wp:extent cx="7132320" cy="3511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ind w:right="1020"/>
        <w:spacing w:after="0" w:line="268" w:lineRule="auto"/>
        <w:rPr>
          <w:rFonts w:ascii="Times New Roman" w:cs="Times New Roman" w:eastAsia="Times New Roman" w:hAnsi="Times New Roman"/>
          <w:sz w:val="14"/>
          <w:szCs w:val="14"/>
          <w:u w:val="single" w:color="auto"/>
          <w:color w:val="0000FF"/>
        </w:rPr>
      </w:pPr>
      <w:hyperlink r:id="rId172">
        <w:r>
          <w:rPr>
            <w:rFonts w:ascii="Times New Roman" w:cs="Times New Roman" w:eastAsia="Times New Roman" w:hAnsi="Times New Roman"/>
            <w:sz w:val="14"/>
            <w:szCs w:val="14"/>
            <w:u w:val="single" w:color="auto"/>
            <w:color w:val="0000FF"/>
          </w:rPr>
          <w:t>Amendment No. 1 to Equity Plan Stockholders Agreement, dated January 20, 2021, by and between Playtika Holding Corp., certain of its stockholders</w:t>
        </w:r>
      </w:hyperlink>
      <w:r>
        <w:rPr>
          <w:rFonts w:ascii="Times New Roman" w:cs="Times New Roman" w:eastAsia="Times New Roman" w:hAnsi="Times New Roman"/>
          <w:sz w:val="14"/>
          <w:szCs w:val="14"/>
          <w:u w:val="single" w:color="auto"/>
          <w:color w:val="0000FF"/>
        </w:rPr>
        <w:t xml:space="preserve"> </w:t>
      </w:r>
      <w:hyperlink r:id="rId172">
        <w:r>
          <w:rPr>
            <w:rFonts w:ascii="Times New Roman" w:cs="Times New Roman" w:eastAsia="Times New Roman" w:hAnsi="Times New Roman"/>
            <w:sz w:val="14"/>
            <w:szCs w:val="14"/>
            <w:u w:val="single" w:color="auto"/>
            <w:color w:val="0000FF"/>
          </w:rPr>
          <w:t>and affiliated parties thereto (incorporated herein by reference to Exhibit 4.1 to the Company’s Current Report on Form 8-K, as filed with the SEC on</w:t>
        </w:r>
      </w:hyperlink>
      <w:r>
        <w:rPr>
          <w:rFonts w:ascii="Times New Roman" w:cs="Times New Roman" w:eastAsia="Times New Roman" w:hAnsi="Times New Roman"/>
          <w:sz w:val="14"/>
          <w:szCs w:val="14"/>
          <w:u w:val="single" w:color="auto"/>
          <w:color w:val="0000FF"/>
        </w:rPr>
        <w:t xml:space="preserve"> </w:t>
      </w:r>
      <w:hyperlink r:id="rId172">
        <w:r>
          <w:rPr>
            <w:rFonts w:ascii="Times New Roman" w:cs="Times New Roman" w:eastAsia="Times New Roman" w:hAnsi="Times New Roman"/>
            <w:sz w:val="14"/>
            <w:szCs w:val="14"/>
            <w:u w:val="single" w:color="auto"/>
            <w:color w:val="0000FF"/>
          </w:rPr>
          <w:t>January 20, 2021)</w:t>
        </w:r>
      </w:hyperlink>
    </w:p>
    <w:p>
      <w:pPr>
        <w:spacing w:after="0" w:line="1" w:lineRule="exact"/>
        <w:rPr>
          <w:rFonts w:ascii="Times New Roman" w:cs="Times New Roman" w:eastAsia="Times New Roman" w:hAnsi="Times New Roman"/>
          <w:sz w:val="14"/>
          <w:szCs w:val="14"/>
          <w:u w:val="single" w:color="auto"/>
          <w:color w:val="0000FF"/>
        </w:rPr>
      </w:pPr>
    </w:p>
    <w:p>
      <w:pPr>
        <w:ind w:right="1240"/>
        <w:spacing w:after="0" w:line="251" w:lineRule="auto"/>
        <w:rPr>
          <w:rFonts w:ascii="Times New Roman" w:cs="Times New Roman" w:eastAsia="Times New Roman" w:hAnsi="Times New Roman"/>
          <w:sz w:val="14"/>
          <w:szCs w:val="14"/>
          <w:u w:val="single" w:color="auto"/>
          <w:color w:val="0000FF"/>
        </w:rPr>
      </w:pPr>
      <w:hyperlink r:id="rId173">
        <w:r>
          <w:rPr>
            <w:rFonts w:ascii="Times New Roman" w:cs="Times New Roman" w:eastAsia="Times New Roman" w:hAnsi="Times New Roman"/>
            <w:sz w:val="14"/>
            <w:szCs w:val="14"/>
            <w:u w:val="single" w:color="auto"/>
            <w:color w:val="0000FF"/>
          </w:rPr>
          <w:t>Description of Securities (incorporated herein by reference to Exhibit 4.4 to the Company's Annual Report on Form 10-K, as filed with the SEC on</w:t>
        </w:r>
      </w:hyperlink>
      <w:r>
        <w:rPr>
          <w:rFonts w:ascii="Times New Roman" w:cs="Times New Roman" w:eastAsia="Times New Roman" w:hAnsi="Times New Roman"/>
          <w:sz w:val="14"/>
          <w:szCs w:val="14"/>
          <w:u w:val="single" w:color="auto"/>
          <w:color w:val="0000FF"/>
        </w:rPr>
        <w:t xml:space="preserve"> </w:t>
      </w:r>
      <w:hyperlink r:id="rId173">
        <w:r>
          <w:rPr>
            <w:rFonts w:ascii="Times New Roman" w:cs="Times New Roman" w:eastAsia="Times New Roman" w:hAnsi="Times New Roman"/>
            <w:sz w:val="14"/>
            <w:szCs w:val="14"/>
            <w:u w:val="single" w:color="auto"/>
            <w:color w:val="0000FF"/>
          </w:rPr>
          <w:t>February 26, 2021)</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4">
        <w:r>
          <w:rPr>
            <w:rFonts w:ascii="Times New Roman" w:cs="Times New Roman" w:eastAsia="Times New Roman" w:hAnsi="Times New Roman"/>
            <w:sz w:val="14"/>
            <w:szCs w:val="14"/>
            <w:u w:val="single" w:color="auto"/>
            <w:color w:val="0000FF"/>
          </w:rPr>
          <w:t>First Supplemental Indenture and Subsidiary Guarantee, dated August 26, 2021, among Playtika Holding Corp., Playtika ST Holding GmbH,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-95885</wp:posOffset>
            </wp:positionV>
            <wp:extent cx="7132320" cy="402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ind w:right="1200"/>
        <w:spacing w:after="0" w:line="211" w:lineRule="auto"/>
        <w:rPr>
          <w:rFonts w:ascii="Times New Roman" w:cs="Times New Roman" w:eastAsia="Times New Roman" w:hAnsi="Times New Roman"/>
          <w:sz w:val="14"/>
          <w:szCs w:val="14"/>
          <w:u w:val="single" w:color="auto"/>
          <w:color w:val="0000FF"/>
        </w:rPr>
      </w:pPr>
      <w:hyperlink r:id="rId174">
        <w:r>
          <w:rPr>
            <w:rFonts w:ascii="Times New Roman" w:cs="Times New Roman" w:eastAsia="Times New Roman" w:hAnsi="Times New Roman"/>
            <w:sz w:val="14"/>
            <w:szCs w:val="14"/>
            <w:u w:val="single" w:color="auto"/>
            <w:color w:val="0000FF"/>
          </w:rPr>
          <w:t>Seriously Digital Entertainment Oy, Supertreat GmbH, Wooga GmbH, Wooga ParentCo DE GmbH and Wilmington Trust, National Association, as</w:t>
        </w:r>
      </w:hyperlink>
      <w:r>
        <w:rPr>
          <w:rFonts w:ascii="Times New Roman" w:cs="Times New Roman" w:eastAsia="Times New Roman" w:hAnsi="Times New Roman"/>
          <w:sz w:val="14"/>
          <w:szCs w:val="14"/>
          <w:u w:val="single" w:color="auto"/>
          <w:color w:val="0000FF"/>
        </w:rPr>
        <w:t xml:space="preserve"> </w:t>
      </w:r>
      <w:hyperlink r:id="rId174">
        <w:r>
          <w:rPr>
            <w:rFonts w:ascii="Times New Roman" w:cs="Times New Roman" w:eastAsia="Times New Roman" w:hAnsi="Times New Roman"/>
            <w:sz w:val="14"/>
            <w:szCs w:val="14"/>
            <w:u w:val="single" w:color="auto"/>
            <w:color w:val="0000FF"/>
          </w:rPr>
          <w:t>trustee (incorporated herein by reference to Exhibit 4.1 to the Company's Quarterly Report on Form 10-Q, as filed with the SEC on November 4,</w:t>
        </w:r>
      </w:hyperlink>
    </w:p>
    <w:p>
      <w:pPr>
        <w:spacing w:after="0"/>
        <w:rPr>
          <w:rFonts w:ascii="Times New Roman" w:cs="Times New Roman" w:eastAsia="Times New Roman" w:hAnsi="Times New Roman"/>
          <w:sz w:val="14"/>
          <w:szCs w:val="14"/>
          <w:u w:val="single" w:color="auto"/>
          <w:color w:val="0000FF"/>
        </w:rPr>
      </w:pPr>
      <w:hyperlink r:id="rId174">
        <w:r>
          <w:rPr>
            <w:rFonts w:ascii="Times New Roman" w:cs="Times New Roman" w:eastAsia="Times New Roman" w:hAnsi="Times New Roman"/>
            <w:sz w:val="14"/>
            <w:szCs w:val="14"/>
            <w:u w:val="single" w:color="auto"/>
            <w:color w:val="0000FF"/>
          </w:rPr>
          <w:t>2021)</w:t>
        </w:r>
      </w:hyperlink>
    </w:p>
    <w:p>
      <w:pPr>
        <w:spacing w:after="0" w:line="26" w:lineRule="exact"/>
        <w:rPr>
          <w:sz w:val="20"/>
          <w:szCs w:val="20"/>
          <w:color w:val="auto"/>
        </w:rPr>
      </w:pPr>
    </w:p>
    <w:p>
      <w:pPr>
        <w:ind w:right="1020"/>
        <w:spacing w:after="0" w:line="251" w:lineRule="auto"/>
        <w:rPr>
          <w:rFonts w:ascii="Times New Roman" w:cs="Times New Roman" w:eastAsia="Times New Roman" w:hAnsi="Times New Roman"/>
          <w:sz w:val="14"/>
          <w:szCs w:val="14"/>
          <w:u w:val="single" w:color="auto"/>
          <w:color w:val="0000FF"/>
        </w:rPr>
      </w:pPr>
      <w:hyperlink r:id="rId176">
        <w:r>
          <w:rPr>
            <w:rFonts w:ascii="Times New Roman" w:cs="Times New Roman" w:eastAsia="Times New Roman" w:hAnsi="Times New Roman"/>
            <w:sz w:val="14"/>
            <w:szCs w:val="14"/>
            <w:u w:val="single" w:color="auto"/>
            <w:color w:val="0000FF"/>
          </w:rPr>
          <w:t>Stockholders Agreement dated July 11, 2022, between Playtika Holding Corp. and Joffre Palace Holdings Limited (incorporated herein by reference to</w:t>
        </w:r>
      </w:hyperlink>
      <w:r>
        <w:rPr>
          <w:rFonts w:ascii="Times New Roman" w:cs="Times New Roman" w:eastAsia="Times New Roman" w:hAnsi="Times New Roman"/>
          <w:sz w:val="14"/>
          <w:szCs w:val="14"/>
          <w:u w:val="single" w:color="auto"/>
          <w:color w:val="0000FF"/>
        </w:rPr>
        <w:t xml:space="preserve"> </w:t>
      </w:r>
      <w:hyperlink r:id="rId176">
        <w:r>
          <w:rPr>
            <w:rFonts w:ascii="Times New Roman" w:cs="Times New Roman" w:eastAsia="Times New Roman" w:hAnsi="Times New Roman"/>
            <w:sz w:val="14"/>
            <w:szCs w:val="14"/>
            <w:u w:val="single" w:color="auto"/>
            <w:color w:val="0000FF"/>
          </w:rPr>
          <w:t>Exhibit 4.1 to the Company’s Current Report on Form 8-K, as filed with the SEC on July 11, 2022)</w:t>
        </w:r>
      </w:hyperlink>
    </w:p>
    <w:p>
      <w:pPr>
        <w:spacing w:after="0" w:line="1" w:lineRule="exact"/>
        <w:rPr>
          <w:sz w:val="20"/>
          <w:szCs w:val="20"/>
          <w:color w:val="auto"/>
        </w:rPr>
      </w:pPr>
    </w:p>
    <w:p>
      <w:pPr>
        <w:ind w:right="1060"/>
        <w:spacing w:after="0" w:line="251" w:lineRule="auto"/>
        <w:rPr>
          <w:rFonts w:ascii="Times New Roman" w:cs="Times New Roman" w:eastAsia="Times New Roman" w:hAnsi="Times New Roman"/>
          <w:sz w:val="14"/>
          <w:szCs w:val="14"/>
          <w:u w:val="single" w:color="auto"/>
          <w:color w:val="0000FF"/>
        </w:rPr>
      </w:pPr>
      <w:hyperlink r:id="rId177">
        <w:r>
          <w:rPr>
            <w:rFonts w:ascii="Times New Roman" w:cs="Times New Roman" w:eastAsia="Times New Roman" w:hAnsi="Times New Roman"/>
            <w:sz w:val="14"/>
            <w:szCs w:val="14"/>
            <w:u w:val="single" w:color="auto"/>
            <w:color w:val="0000FF"/>
          </w:rPr>
          <w:t>Form of Indemnification Agreement between Playtika Holding Corp. and its directors and officers (incorporated herein by reference to Exhibit 10.1 to</w:t>
        </w:r>
      </w:hyperlink>
      <w:r>
        <w:rPr>
          <w:rFonts w:ascii="Times New Roman" w:cs="Times New Roman" w:eastAsia="Times New Roman" w:hAnsi="Times New Roman"/>
          <w:sz w:val="14"/>
          <w:szCs w:val="14"/>
          <w:u w:val="single" w:color="auto"/>
          <w:color w:val="0000FF"/>
        </w:rPr>
        <w:t xml:space="preserve"> </w:t>
      </w:r>
      <w:hyperlink r:id="rId177">
        <w:r>
          <w:rPr>
            <w:rFonts w:ascii="Times New Roman" w:cs="Times New Roman" w:eastAsia="Times New Roman" w:hAnsi="Times New Roman"/>
            <w:sz w:val="14"/>
            <w:szCs w:val="14"/>
            <w:u w:val="single" w:color="auto"/>
            <w:color w:val="0000FF"/>
          </w:rPr>
          <w:t>the Company’s 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040"/>
        <w:spacing w:after="0" w:line="251" w:lineRule="auto"/>
        <w:rPr>
          <w:rFonts w:ascii="Times New Roman" w:cs="Times New Roman" w:eastAsia="Times New Roman" w:hAnsi="Times New Roman"/>
          <w:sz w:val="14"/>
          <w:szCs w:val="14"/>
          <w:u w:val="single" w:color="auto"/>
          <w:color w:val="0000FF"/>
        </w:rPr>
      </w:pPr>
      <w:hyperlink r:id="rId179">
        <w:r>
          <w:rPr>
            <w:rFonts w:ascii="Times New Roman" w:cs="Times New Roman" w:eastAsia="Times New Roman" w:hAnsi="Times New Roman"/>
            <w:sz w:val="14"/>
            <w:szCs w:val="14"/>
            <w:u w:val="single" w:color="auto"/>
            <w:color w:val="0000FF"/>
          </w:rPr>
          <w:t>Playtika Holding Corp. 2021-2024 Retention Plan (incorporated herein by reference to Exhibit 10.9 to the Company’s Registration Statement on Form</w:t>
        </w:r>
      </w:hyperlink>
      <w:r>
        <w:rPr>
          <w:rFonts w:ascii="Times New Roman" w:cs="Times New Roman" w:eastAsia="Times New Roman" w:hAnsi="Times New Roman"/>
          <w:sz w:val="14"/>
          <w:szCs w:val="14"/>
          <w:u w:val="single" w:color="auto"/>
          <w:color w:val="0000FF"/>
        </w:rPr>
        <w:t xml:space="preserve"> </w:t>
      </w:r>
      <w:hyperlink r:id="rId179">
        <w:r>
          <w:rPr>
            <w:rFonts w:ascii="Times New Roman" w:cs="Times New Roman" w:eastAsia="Times New Roman" w:hAnsi="Times New Roman"/>
            <w:sz w:val="14"/>
            <w:szCs w:val="14"/>
            <w:u w:val="single" w:color="auto"/>
            <w:color w:val="0000FF"/>
          </w:rPr>
          <w:t>S-1, as filed with the SEC on December 18, 2020)</w:t>
        </w:r>
      </w:hyperlink>
    </w:p>
    <w:p>
      <w:pPr>
        <w:spacing w:after="0" w:line="1" w:lineRule="exact"/>
        <w:rPr>
          <w:sz w:val="20"/>
          <w:szCs w:val="20"/>
          <w:color w:val="auto"/>
        </w:rPr>
      </w:pPr>
    </w:p>
    <w:p>
      <w:pPr>
        <w:ind w:right="1600"/>
        <w:spacing w:after="0" w:line="251" w:lineRule="auto"/>
        <w:rPr>
          <w:rFonts w:ascii="Times New Roman" w:cs="Times New Roman" w:eastAsia="Times New Roman" w:hAnsi="Times New Roman"/>
          <w:sz w:val="14"/>
          <w:szCs w:val="14"/>
          <w:u w:val="single" w:color="auto"/>
          <w:color w:val="0000FF"/>
        </w:rPr>
      </w:pPr>
      <w:hyperlink r:id="rId180">
        <w:r>
          <w:rPr>
            <w:rFonts w:ascii="Times New Roman" w:cs="Times New Roman" w:eastAsia="Times New Roman" w:hAnsi="Times New Roman"/>
            <w:sz w:val="14"/>
            <w:szCs w:val="14"/>
            <w:u w:val="single" w:color="auto"/>
            <w:color w:val="0000FF"/>
          </w:rPr>
          <w:t>Amendment No. 1 to Playtika Holding Corp. 2021-2024 Retention Plan (incorporated herein by reference to Exhibit 10.10 to the Company’s</w:t>
        </w:r>
      </w:hyperlink>
      <w:r>
        <w:rPr>
          <w:rFonts w:ascii="Times New Roman" w:cs="Times New Roman" w:eastAsia="Times New Roman" w:hAnsi="Times New Roman"/>
          <w:sz w:val="14"/>
          <w:szCs w:val="14"/>
          <w:u w:val="single" w:color="auto"/>
          <w:color w:val="0000FF"/>
        </w:rPr>
        <w:t xml:space="preserve"> </w:t>
      </w:r>
      <w:hyperlink r:id="rId180">
        <w:r>
          <w:rPr>
            <w:rFonts w:ascii="Times New Roman" w:cs="Times New Roman" w:eastAsia="Times New Roman" w:hAnsi="Times New Roman"/>
            <w:sz w:val="14"/>
            <w:szCs w:val="14"/>
            <w:u w:val="single" w:color="auto"/>
            <w:color w:val="0000FF"/>
          </w:rPr>
          <w:t>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100"/>
        <w:spacing w:after="0" w:line="251" w:lineRule="auto"/>
        <w:rPr>
          <w:rFonts w:ascii="Times New Roman" w:cs="Times New Roman" w:eastAsia="Times New Roman" w:hAnsi="Times New Roman"/>
          <w:sz w:val="14"/>
          <w:szCs w:val="14"/>
          <w:u w:val="single" w:color="auto"/>
          <w:color w:val="0000FF"/>
        </w:rPr>
      </w:pPr>
      <w:hyperlink r:id="rId182">
        <w:r>
          <w:rPr>
            <w:rFonts w:ascii="Times New Roman" w:cs="Times New Roman" w:eastAsia="Times New Roman" w:hAnsi="Times New Roman"/>
            <w:sz w:val="14"/>
            <w:szCs w:val="14"/>
            <w:u w:val="single" w:color="auto"/>
            <w:color w:val="0000FF"/>
          </w:rPr>
          <w:t>Form of Executive Retention Award Agreement under 2021-2024 Playtika Holding Corp. Retention Plan (incorporated herein by reference to Exhibit</w:t>
        </w:r>
      </w:hyperlink>
      <w:r>
        <w:rPr>
          <w:rFonts w:ascii="Times New Roman" w:cs="Times New Roman" w:eastAsia="Times New Roman" w:hAnsi="Times New Roman"/>
          <w:sz w:val="14"/>
          <w:szCs w:val="14"/>
          <w:u w:val="single" w:color="auto"/>
          <w:color w:val="0000FF"/>
        </w:rPr>
        <w:t xml:space="preserve"> </w:t>
      </w:r>
      <w:hyperlink r:id="rId182">
        <w:r>
          <w:rPr>
            <w:rFonts w:ascii="Times New Roman" w:cs="Times New Roman" w:eastAsia="Times New Roman" w:hAnsi="Times New Roman"/>
            <w:sz w:val="14"/>
            <w:szCs w:val="14"/>
            <w:u w:val="single" w:color="auto"/>
            <w:color w:val="0000FF"/>
          </w:rPr>
          <w:t>10.11 to the Company’s Registration Statement on Form S-1, as filed with the SEC on December 18, 2020)</w:t>
        </w:r>
      </w:hyperlink>
    </w:p>
    <w:p>
      <w:pPr>
        <w:spacing w:after="0" w:line="1" w:lineRule="exact"/>
        <w:rPr>
          <w:sz w:val="20"/>
          <w:szCs w:val="20"/>
          <w:color w:val="auto"/>
        </w:rPr>
      </w:pPr>
    </w:p>
    <w:p>
      <w:pPr>
        <w:ind w:right="1260"/>
        <w:spacing w:after="0" w:line="251" w:lineRule="auto"/>
        <w:rPr>
          <w:rFonts w:ascii="Times New Roman" w:cs="Times New Roman" w:eastAsia="Times New Roman" w:hAnsi="Times New Roman"/>
          <w:sz w:val="14"/>
          <w:szCs w:val="14"/>
          <w:u w:val="single" w:color="auto"/>
          <w:color w:val="0000FF"/>
        </w:rPr>
      </w:pPr>
      <w:hyperlink r:id="rId183">
        <w:r>
          <w:rPr>
            <w:rFonts w:ascii="Times New Roman" w:cs="Times New Roman" w:eastAsia="Times New Roman" w:hAnsi="Times New Roman"/>
            <w:sz w:val="14"/>
            <w:szCs w:val="14"/>
            <w:u w:val="single" w:color="auto"/>
            <w:color w:val="0000FF"/>
          </w:rPr>
          <w:t>Form of Non-Executive Retention Award Agreement under 2021-2024 Playtika Holding Corp. Retention Plan (incorporated herein by reference to</w:t>
        </w:r>
      </w:hyperlink>
      <w:r>
        <w:rPr>
          <w:rFonts w:ascii="Times New Roman" w:cs="Times New Roman" w:eastAsia="Times New Roman" w:hAnsi="Times New Roman"/>
          <w:sz w:val="14"/>
          <w:szCs w:val="14"/>
          <w:u w:val="single" w:color="auto"/>
          <w:color w:val="0000FF"/>
        </w:rPr>
        <w:t xml:space="preserve"> </w:t>
      </w:r>
      <w:hyperlink r:id="rId183">
        <w:r>
          <w:rPr>
            <w:rFonts w:ascii="Times New Roman" w:cs="Times New Roman" w:eastAsia="Times New Roman" w:hAnsi="Times New Roman"/>
            <w:sz w:val="14"/>
            <w:szCs w:val="14"/>
            <w:u w:val="single" w:color="auto"/>
            <w:color w:val="0000FF"/>
          </w:rPr>
          <w:t>Exhibit 10.12 to the Company’s 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080"/>
        <w:spacing w:after="0" w:line="251" w:lineRule="auto"/>
        <w:rPr>
          <w:rFonts w:ascii="Times New Roman" w:cs="Times New Roman" w:eastAsia="Times New Roman" w:hAnsi="Times New Roman"/>
          <w:sz w:val="14"/>
          <w:szCs w:val="14"/>
          <w:u w:val="single" w:color="auto"/>
          <w:color w:val="0000FF"/>
        </w:rPr>
      </w:pPr>
      <w:hyperlink r:id="rId185">
        <w:r>
          <w:rPr>
            <w:rFonts w:ascii="Times New Roman" w:cs="Times New Roman" w:eastAsia="Times New Roman" w:hAnsi="Times New Roman"/>
            <w:sz w:val="14"/>
            <w:szCs w:val="14"/>
            <w:u w:val="single" w:color="auto"/>
            <w:color w:val="0000FF"/>
          </w:rPr>
          <w:t>Form of Executive Appreciation Unit Award Agreement under 2021-2024 Playtika Holding Corp. Retention Plan (incorporated herein by reference to</w:t>
        </w:r>
      </w:hyperlink>
      <w:r>
        <w:rPr>
          <w:rFonts w:ascii="Times New Roman" w:cs="Times New Roman" w:eastAsia="Times New Roman" w:hAnsi="Times New Roman"/>
          <w:sz w:val="14"/>
          <w:szCs w:val="14"/>
          <w:u w:val="single" w:color="auto"/>
          <w:color w:val="0000FF"/>
        </w:rPr>
        <w:t xml:space="preserve"> </w:t>
      </w:r>
      <w:hyperlink r:id="rId185">
        <w:r>
          <w:rPr>
            <w:rFonts w:ascii="Times New Roman" w:cs="Times New Roman" w:eastAsia="Times New Roman" w:hAnsi="Times New Roman"/>
            <w:sz w:val="14"/>
            <w:szCs w:val="14"/>
            <w:u w:val="single" w:color="auto"/>
            <w:color w:val="0000FF"/>
          </w:rPr>
          <w:t>Exhibit 10.13 to the Company’s Registration Statement on Form S-1, as filed with the SEC on December 18, 2020)</w:t>
        </w:r>
      </w:hyperlink>
    </w:p>
    <w:p>
      <w:pPr>
        <w:spacing w:after="0" w:line="1" w:lineRule="exact"/>
        <w:rPr>
          <w:sz w:val="20"/>
          <w:szCs w:val="20"/>
          <w:color w:val="auto"/>
        </w:rPr>
      </w:pPr>
    </w:p>
    <w:p>
      <w:pPr>
        <w:ind w:right="1500"/>
        <w:spacing w:after="0" w:line="251" w:lineRule="auto"/>
        <w:rPr>
          <w:rFonts w:ascii="Times New Roman" w:cs="Times New Roman" w:eastAsia="Times New Roman" w:hAnsi="Times New Roman"/>
          <w:sz w:val="14"/>
          <w:szCs w:val="14"/>
          <w:u w:val="single" w:color="auto"/>
          <w:color w:val="0000FF"/>
        </w:rPr>
      </w:pPr>
      <w:hyperlink r:id="rId186">
        <w:r>
          <w:rPr>
            <w:rFonts w:ascii="Times New Roman" w:cs="Times New Roman" w:eastAsia="Times New Roman" w:hAnsi="Times New Roman"/>
            <w:sz w:val="14"/>
            <w:szCs w:val="14"/>
            <w:u w:val="single" w:color="auto"/>
            <w:color w:val="0000FF"/>
          </w:rPr>
          <w:t>Form of Non-Executive Appreciation Unit Award Agreement under 2021-2024 Playtika Holding Corp. Retention Plan (incorporated herein by</w:t>
        </w:r>
      </w:hyperlink>
      <w:r>
        <w:rPr>
          <w:rFonts w:ascii="Times New Roman" w:cs="Times New Roman" w:eastAsia="Times New Roman" w:hAnsi="Times New Roman"/>
          <w:sz w:val="14"/>
          <w:szCs w:val="14"/>
          <w:u w:val="single" w:color="auto"/>
          <w:color w:val="0000FF"/>
        </w:rPr>
        <w:t xml:space="preserve"> </w:t>
      </w:r>
      <w:hyperlink r:id="rId186">
        <w:r>
          <w:rPr>
            <w:rFonts w:ascii="Times New Roman" w:cs="Times New Roman" w:eastAsia="Times New Roman" w:hAnsi="Times New Roman"/>
            <w:sz w:val="14"/>
            <w:szCs w:val="14"/>
            <w:u w:val="single" w:color="auto"/>
            <w:color w:val="0000FF"/>
          </w:rPr>
          <w:t>reference to Exhibit 10.14 to the Company’s 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060"/>
        <w:spacing w:after="0" w:line="251" w:lineRule="auto"/>
        <w:rPr>
          <w:rFonts w:ascii="Times New Roman" w:cs="Times New Roman" w:eastAsia="Times New Roman" w:hAnsi="Times New Roman"/>
          <w:sz w:val="14"/>
          <w:szCs w:val="14"/>
          <w:u w:val="single" w:color="auto"/>
          <w:color w:val="0000FF"/>
        </w:rPr>
      </w:pPr>
      <w:hyperlink r:id="rId188">
        <w:r>
          <w:rPr>
            <w:rFonts w:ascii="Times New Roman" w:cs="Times New Roman" w:eastAsia="Times New Roman" w:hAnsi="Times New Roman"/>
            <w:sz w:val="14"/>
            <w:szCs w:val="14"/>
            <w:u w:val="single" w:color="auto"/>
            <w:color w:val="0000FF"/>
          </w:rPr>
          <w:t>Form of Amendment to Playtika Holding Corp. 2021-2024 Retention Plan Agreements dated June 26, 2020 with U.S. Executives (incorporated herein</w:t>
        </w:r>
      </w:hyperlink>
      <w:r>
        <w:rPr>
          <w:rFonts w:ascii="Times New Roman" w:cs="Times New Roman" w:eastAsia="Times New Roman" w:hAnsi="Times New Roman"/>
          <w:sz w:val="14"/>
          <w:szCs w:val="14"/>
          <w:u w:val="single" w:color="auto"/>
          <w:color w:val="0000FF"/>
        </w:rPr>
        <w:t xml:space="preserve"> </w:t>
      </w:r>
      <w:hyperlink r:id="rId188">
        <w:r>
          <w:rPr>
            <w:rFonts w:ascii="Times New Roman" w:cs="Times New Roman" w:eastAsia="Times New Roman" w:hAnsi="Times New Roman"/>
            <w:sz w:val="14"/>
            <w:szCs w:val="14"/>
            <w:u w:val="single" w:color="auto"/>
            <w:color w:val="0000FF"/>
          </w:rPr>
          <w:t>by reference to Exhibit 10.15 to the Company’s Registration Statement on Form S-1, as filed with the SEC on December 18, 2020)</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89">
        <w:r>
          <w:rPr>
            <w:rFonts w:ascii="Times New Roman" w:cs="Times New Roman" w:eastAsia="Times New Roman" w:hAnsi="Times New Roman"/>
            <w:sz w:val="14"/>
            <w:szCs w:val="14"/>
            <w:u w:val="single" w:color="auto"/>
            <w:color w:val="0000FF"/>
          </w:rPr>
          <w:t>Amendment to Appreciation Unit Award Agreements under 2021-2024 Playtika Holding Corp. Retention Plan between Playtika Holding Corp.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-95885</wp:posOffset>
            </wp:positionV>
            <wp:extent cx="7132320" cy="308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1240"/>
        <w:spacing w:after="0" w:line="229" w:lineRule="auto"/>
        <w:rPr>
          <w:rFonts w:ascii="Times New Roman" w:cs="Times New Roman" w:eastAsia="Times New Roman" w:hAnsi="Times New Roman"/>
          <w:sz w:val="14"/>
          <w:szCs w:val="14"/>
          <w:u w:val="single" w:color="auto"/>
          <w:color w:val="0000FF"/>
        </w:rPr>
      </w:pPr>
      <w:hyperlink r:id="rId189">
        <w:r>
          <w:rPr>
            <w:rFonts w:ascii="Times New Roman" w:cs="Times New Roman" w:eastAsia="Times New Roman" w:hAnsi="Times New Roman"/>
            <w:sz w:val="14"/>
            <w:szCs w:val="14"/>
            <w:u w:val="single" w:color="auto"/>
            <w:color w:val="0000FF"/>
          </w:rPr>
          <w:t>Robert Antokol (incorporated herein by reference to Exhibit 10.16 to the Company’s Registration Statement on Form S-1, as filed with the SEC on</w:t>
        </w:r>
      </w:hyperlink>
      <w:r>
        <w:rPr>
          <w:rFonts w:ascii="Times New Roman" w:cs="Times New Roman" w:eastAsia="Times New Roman" w:hAnsi="Times New Roman"/>
          <w:sz w:val="14"/>
          <w:szCs w:val="14"/>
          <w:u w:val="single" w:color="auto"/>
          <w:color w:val="0000FF"/>
        </w:rPr>
        <w:t xml:space="preserve"> </w:t>
      </w:r>
      <w:hyperlink r:id="rId189">
        <w:r>
          <w:rPr>
            <w:rFonts w:ascii="Times New Roman" w:cs="Times New Roman" w:eastAsia="Times New Roman" w:hAnsi="Times New Roman"/>
            <w:sz w:val="14"/>
            <w:szCs w:val="14"/>
            <w:u w:val="single" w:color="auto"/>
            <w:color w:val="0000FF"/>
          </w:rPr>
          <w:t>December 18, 2020)</w:t>
        </w:r>
      </w:hyperlink>
    </w:p>
    <w:p>
      <w:pPr>
        <w:spacing w:after="0" w:line="14" w:lineRule="exact"/>
        <w:rPr>
          <w:sz w:val="20"/>
          <w:szCs w:val="20"/>
          <w:color w:val="auto"/>
        </w:rPr>
      </w:pPr>
    </w:p>
    <w:p>
      <w:pPr>
        <w:ind w:right="1680"/>
        <w:spacing w:after="0" w:line="251" w:lineRule="auto"/>
        <w:rPr>
          <w:rFonts w:ascii="Times New Roman" w:cs="Times New Roman" w:eastAsia="Times New Roman" w:hAnsi="Times New Roman"/>
          <w:sz w:val="14"/>
          <w:szCs w:val="14"/>
          <w:u w:val="single" w:color="auto"/>
          <w:color w:val="0000FF"/>
        </w:rPr>
      </w:pPr>
      <w:hyperlink r:id="rId191">
        <w:r>
          <w:rPr>
            <w:rFonts w:ascii="Times New Roman" w:cs="Times New Roman" w:eastAsia="Times New Roman" w:hAnsi="Times New Roman"/>
            <w:sz w:val="14"/>
            <w:szCs w:val="14"/>
            <w:u w:val="single" w:color="auto"/>
            <w:color w:val="0000FF"/>
          </w:rPr>
          <w:t>2020 Incentive Award Plan, including Sub-Plan for Israeli Participants (incorporated herein by reference to Exhibit 10.17 to the Company’s</w:t>
        </w:r>
      </w:hyperlink>
      <w:r>
        <w:rPr>
          <w:rFonts w:ascii="Times New Roman" w:cs="Times New Roman" w:eastAsia="Times New Roman" w:hAnsi="Times New Roman"/>
          <w:sz w:val="14"/>
          <w:szCs w:val="14"/>
          <w:u w:val="single" w:color="auto"/>
          <w:color w:val="0000FF"/>
        </w:rPr>
        <w:t xml:space="preserve"> </w:t>
      </w:r>
      <w:hyperlink r:id="rId191">
        <w:r>
          <w:rPr>
            <w:rFonts w:ascii="Times New Roman" w:cs="Times New Roman" w:eastAsia="Times New Roman" w:hAnsi="Times New Roman"/>
            <w:sz w:val="14"/>
            <w:szCs w:val="14"/>
            <w:u w:val="single" w:color="auto"/>
            <w:color w:val="0000FF"/>
          </w:rPr>
          <w:t>Registration Statement on Form S-1, as filed with the SEC on December 18, 2020)</w:t>
        </w:r>
      </w:hyperlink>
    </w:p>
    <w:p>
      <w:pPr>
        <w:spacing w:after="0" w:line="1" w:lineRule="exact"/>
        <w:rPr>
          <w:sz w:val="20"/>
          <w:szCs w:val="20"/>
          <w:color w:val="auto"/>
        </w:rPr>
      </w:pPr>
    </w:p>
    <w:p>
      <w:pPr>
        <w:ind w:right="1540"/>
        <w:spacing w:after="0" w:line="251" w:lineRule="auto"/>
        <w:rPr>
          <w:rFonts w:ascii="Times New Roman" w:cs="Times New Roman" w:eastAsia="Times New Roman" w:hAnsi="Times New Roman"/>
          <w:sz w:val="14"/>
          <w:szCs w:val="14"/>
          <w:u w:val="single" w:color="auto"/>
          <w:color w:val="0000FF"/>
        </w:rPr>
      </w:pPr>
      <w:hyperlink r:id="rId192">
        <w:r>
          <w:rPr>
            <w:rFonts w:ascii="Times New Roman" w:cs="Times New Roman" w:eastAsia="Times New Roman" w:hAnsi="Times New Roman"/>
            <w:sz w:val="14"/>
            <w:szCs w:val="14"/>
            <w:u w:val="single" w:color="auto"/>
            <w:color w:val="0000FF"/>
          </w:rPr>
          <w:t>Amendment No. 1 to Playtika Holding Corp. 2020 Incentive Award Plan (incorporated herein by reference to Exhibit 10.18 to the Company’s</w:t>
        </w:r>
      </w:hyperlink>
      <w:r>
        <w:rPr>
          <w:rFonts w:ascii="Times New Roman" w:cs="Times New Roman" w:eastAsia="Times New Roman" w:hAnsi="Times New Roman"/>
          <w:sz w:val="14"/>
          <w:szCs w:val="14"/>
          <w:u w:val="single" w:color="auto"/>
          <w:color w:val="0000FF"/>
        </w:rPr>
        <w:t xml:space="preserve"> </w:t>
      </w:r>
      <w:hyperlink r:id="rId192">
        <w:r>
          <w:rPr>
            <w:rFonts w:ascii="Times New Roman" w:cs="Times New Roman" w:eastAsia="Times New Roman" w:hAnsi="Times New Roman"/>
            <w:sz w:val="14"/>
            <w:szCs w:val="14"/>
            <w:u w:val="single" w:color="auto"/>
            <w:color w:val="0000FF"/>
          </w:rPr>
          <w:t>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360"/>
        <w:spacing w:after="0" w:line="251" w:lineRule="auto"/>
        <w:rPr>
          <w:rFonts w:ascii="Times New Roman" w:cs="Times New Roman" w:eastAsia="Times New Roman" w:hAnsi="Times New Roman"/>
          <w:sz w:val="14"/>
          <w:szCs w:val="14"/>
          <w:u w:val="single" w:color="auto"/>
          <w:color w:val="0000FF"/>
        </w:rPr>
      </w:pPr>
      <w:hyperlink r:id="rId194">
        <w:r>
          <w:rPr>
            <w:rFonts w:ascii="Times New Roman" w:cs="Times New Roman" w:eastAsia="Times New Roman" w:hAnsi="Times New Roman"/>
            <w:sz w:val="14"/>
            <w:szCs w:val="14"/>
            <w:u w:val="single" w:color="auto"/>
            <w:color w:val="0000FF"/>
          </w:rPr>
          <w:t>Form of Restricted Stock Unit Agreement under 2020 Incentive Award Plan (incorporated herein by reference to Exhibit 10.19 to the Company’s</w:t>
        </w:r>
      </w:hyperlink>
      <w:r>
        <w:rPr>
          <w:rFonts w:ascii="Times New Roman" w:cs="Times New Roman" w:eastAsia="Times New Roman" w:hAnsi="Times New Roman"/>
          <w:sz w:val="14"/>
          <w:szCs w:val="14"/>
          <w:u w:val="single" w:color="auto"/>
          <w:color w:val="0000FF"/>
        </w:rPr>
        <w:t xml:space="preserve"> </w:t>
      </w:r>
      <w:hyperlink r:id="rId194">
        <w:r>
          <w:rPr>
            <w:rFonts w:ascii="Times New Roman" w:cs="Times New Roman" w:eastAsia="Times New Roman" w:hAnsi="Times New Roman"/>
            <w:sz w:val="14"/>
            <w:szCs w:val="14"/>
            <w:u w:val="single" w:color="auto"/>
            <w:color w:val="0000FF"/>
          </w:rPr>
          <w:t>Registration Statement on Form S-1, as filed with the SEC on December 18, 2020)</w:t>
        </w:r>
      </w:hyperlink>
    </w:p>
    <w:p>
      <w:pPr>
        <w:spacing w:after="0" w:line="1" w:lineRule="exact"/>
        <w:rPr>
          <w:sz w:val="20"/>
          <w:szCs w:val="20"/>
          <w:color w:val="auto"/>
        </w:rPr>
      </w:pPr>
    </w:p>
    <w:p>
      <w:pPr>
        <w:ind w:right="1100"/>
        <w:spacing w:after="0" w:line="251" w:lineRule="auto"/>
        <w:rPr>
          <w:rFonts w:ascii="Times New Roman" w:cs="Times New Roman" w:eastAsia="Times New Roman" w:hAnsi="Times New Roman"/>
          <w:sz w:val="14"/>
          <w:szCs w:val="14"/>
          <w:u w:val="single" w:color="auto"/>
          <w:color w:val="0000FF"/>
        </w:rPr>
      </w:pPr>
      <w:hyperlink r:id="rId195">
        <w:r>
          <w:rPr>
            <w:rFonts w:ascii="Times New Roman" w:cs="Times New Roman" w:eastAsia="Times New Roman" w:hAnsi="Times New Roman"/>
            <w:sz w:val="14"/>
            <w:szCs w:val="14"/>
            <w:u w:val="single" w:color="auto"/>
            <w:color w:val="0000FF"/>
          </w:rPr>
          <w:t>Form of Restricted Stock Unit Agreement for Israeli Participants under 2020 Incentive Award Plan (incorporated by reference herein to Exhibit 10.20</w:t>
        </w:r>
      </w:hyperlink>
      <w:r>
        <w:rPr>
          <w:rFonts w:ascii="Times New Roman" w:cs="Times New Roman" w:eastAsia="Times New Roman" w:hAnsi="Times New Roman"/>
          <w:sz w:val="14"/>
          <w:szCs w:val="14"/>
          <w:u w:val="single" w:color="auto"/>
          <w:color w:val="0000FF"/>
        </w:rPr>
        <w:t xml:space="preserve"> </w:t>
      </w:r>
      <w:hyperlink r:id="rId195">
        <w:r>
          <w:rPr>
            <w:rFonts w:ascii="Times New Roman" w:cs="Times New Roman" w:eastAsia="Times New Roman" w:hAnsi="Times New Roman"/>
            <w:sz w:val="14"/>
            <w:szCs w:val="14"/>
            <w:u w:val="single" w:color="auto"/>
            <w:color w:val="0000FF"/>
          </w:rPr>
          <w:t>to the Company’s 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100"/>
        <w:spacing w:after="0" w:line="251" w:lineRule="auto"/>
        <w:rPr>
          <w:rFonts w:ascii="Times New Roman" w:cs="Times New Roman" w:eastAsia="Times New Roman" w:hAnsi="Times New Roman"/>
          <w:sz w:val="14"/>
          <w:szCs w:val="14"/>
          <w:u w:val="single" w:color="auto"/>
          <w:color w:val="0000FF"/>
        </w:rPr>
      </w:pPr>
      <w:hyperlink r:id="rId197">
        <w:r>
          <w:rPr>
            <w:rFonts w:ascii="Times New Roman" w:cs="Times New Roman" w:eastAsia="Times New Roman" w:hAnsi="Times New Roman"/>
            <w:sz w:val="14"/>
            <w:szCs w:val="14"/>
            <w:u w:val="single" w:color="auto"/>
            <w:color w:val="0000FF"/>
          </w:rPr>
          <w:t>Form of Stock Option Agreement under 2020 Incentive Award Plan (incorporated herein by reference to Exhibit 10.21 to the Company’s Registration</w:t>
        </w:r>
      </w:hyperlink>
      <w:r>
        <w:rPr>
          <w:rFonts w:ascii="Times New Roman" w:cs="Times New Roman" w:eastAsia="Times New Roman" w:hAnsi="Times New Roman"/>
          <w:sz w:val="14"/>
          <w:szCs w:val="14"/>
          <w:u w:val="single" w:color="auto"/>
          <w:color w:val="0000FF"/>
        </w:rPr>
        <w:t xml:space="preserve"> </w:t>
      </w:r>
      <w:hyperlink r:id="rId197">
        <w:r>
          <w:rPr>
            <w:rFonts w:ascii="Times New Roman" w:cs="Times New Roman" w:eastAsia="Times New Roman" w:hAnsi="Times New Roman"/>
            <w:sz w:val="14"/>
            <w:szCs w:val="14"/>
            <w:u w:val="single" w:color="auto"/>
            <w:color w:val="0000FF"/>
          </w:rPr>
          <w:t>Statement on Form S-1, as filed with the SEC on December 18, 2020)</w:t>
        </w:r>
      </w:hyperlink>
    </w:p>
    <w:p>
      <w:pPr>
        <w:spacing w:after="0" w:line="1" w:lineRule="exact"/>
        <w:rPr>
          <w:sz w:val="20"/>
          <w:szCs w:val="20"/>
          <w:color w:val="auto"/>
        </w:rPr>
      </w:pPr>
    </w:p>
    <w:p>
      <w:pPr>
        <w:ind w:right="1200"/>
        <w:spacing w:after="0" w:line="251" w:lineRule="auto"/>
        <w:rPr>
          <w:rFonts w:ascii="Times New Roman" w:cs="Times New Roman" w:eastAsia="Times New Roman" w:hAnsi="Times New Roman"/>
          <w:sz w:val="14"/>
          <w:szCs w:val="14"/>
          <w:u w:val="single" w:color="auto"/>
          <w:color w:val="0000FF"/>
        </w:rPr>
      </w:pPr>
      <w:hyperlink r:id="rId198">
        <w:r>
          <w:rPr>
            <w:rFonts w:ascii="Times New Roman" w:cs="Times New Roman" w:eastAsia="Times New Roman" w:hAnsi="Times New Roman"/>
            <w:sz w:val="14"/>
            <w:szCs w:val="14"/>
            <w:u w:val="single" w:color="auto"/>
            <w:color w:val="0000FF"/>
          </w:rPr>
          <w:t>Form of Stock Option Agreement for Israeli Participants under 2020 Incentive Award Plan (incorporated herein by reference to Exhibit 10.22 to the</w:t>
        </w:r>
      </w:hyperlink>
      <w:r>
        <w:rPr>
          <w:rFonts w:ascii="Times New Roman" w:cs="Times New Roman" w:eastAsia="Times New Roman" w:hAnsi="Times New Roman"/>
          <w:sz w:val="14"/>
          <w:szCs w:val="14"/>
          <w:u w:val="single" w:color="auto"/>
          <w:color w:val="0000FF"/>
        </w:rPr>
        <w:t xml:space="preserve"> </w:t>
      </w:r>
      <w:hyperlink r:id="rId198">
        <w:r>
          <w:rPr>
            <w:rFonts w:ascii="Times New Roman" w:cs="Times New Roman" w:eastAsia="Times New Roman" w:hAnsi="Times New Roman"/>
            <w:sz w:val="14"/>
            <w:szCs w:val="14"/>
            <w:u w:val="single" w:color="auto"/>
            <w:color w:val="0000FF"/>
          </w:rPr>
          <w:t>Company’s 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160"/>
        <w:spacing w:after="0" w:line="261" w:lineRule="auto"/>
        <w:rPr>
          <w:rFonts w:ascii="Times New Roman" w:cs="Times New Roman" w:eastAsia="Times New Roman" w:hAnsi="Times New Roman"/>
          <w:sz w:val="14"/>
          <w:szCs w:val="14"/>
          <w:u w:val="single" w:color="auto"/>
          <w:color w:val="0000FF"/>
        </w:rPr>
      </w:pPr>
      <w:hyperlink r:id="rId200">
        <w:r>
          <w:rPr>
            <w:rFonts w:ascii="Times New Roman" w:cs="Times New Roman" w:eastAsia="Times New Roman" w:hAnsi="Times New Roman"/>
            <w:sz w:val="14"/>
            <w:szCs w:val="14"/>
            <w:u w:val="single" w:color="auto"/>
            <w:color w:val="0000FF"/>
          </w:rPr>
          <w:t>Employee Stock Purchase Plan (incorporated herein by reference to Exhibit 10.23 to Amendment No. 1 to the Company’s Registration Statement on</w:t>
        </w:r>
      </w:hyperlink>
      <w:r>
        <w:rPr>
          <w:rFonts w:ascii="Times New Roman" w:cs="Times New Roman" w:eastAsia="Times New Roman" w:hAnsi="Times New Roman"/>
          <w:sz w:val="14"/>
          <w:szCs w:val="14"/>
          <w:u w:val="single" w:color="auto"/>
          <w:color w:val="0000FF"/>
        </w:rPr>
        <w:t xml:space="preserve"> </w:t>
      </w:r>
      <w:hyperlink r:id="rId200">
        <w:r>
          <w:rPr>
            <w:rFonts w:ascii="Times New Roman" w:cs="Times New Roman" w:eastAsia="Times New Roman" w:hAnsi="Times New Roman"/>
            <w:sz w:val="14"/>
            <w:szCs w:val="14"/>
            <w:u w:val="single" w:color="auto"/>
            <w:color w:val="0000FF"/>
          </w:rPr>
          <w:t>Form S-1, as filed with the SEC on January 7, 2021)</w:t>
        </w:r>
      </w:hyperlink>
    </w:p>
    <w:p>
      <w:pPr>
        <w:spacing w:after="0" w:line="200" w:lineRule="exact"/>
        <w:rPr>
          <w:sz w:val="20"/>
          <w:szCs w:val="20"/>
          <w:color w:val="auto"/>
        </w:rPr>
      </w:pPr>
    </w:p>
    <w:p>
      <w:pPr>
        <w:sectPr>
          <w:pgSz w:w="11900" w:h="16838" w:orient="portrait"/>
          <w:cols w:equalWidth="0" w:num="2">
            <w:col w:w="1080" w:space="180"/>
            <w:col w:w="9720"/>
          </w:cols>
          <w:pgMar w:left="320" w:top="1413"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type w:val="continuous"/>
        </w:sectPr>
      </w:pPr>
    </w:p>
    <w:bookmarkStart w:id="135" w:name="page136"/>
    <w:bookmarkEnd w:id="135"/>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shd w:val="clear" w:color="auto" w:fill="CCEEFF"/>
          </w:tcPr>
          <w:p>
            <w:pPr>
              <w:spacing w:after="0"/>
              <w:rPr>
                <w:sz w:val="13"/>
                <w:szCs w:val="13"/>
                <w:color w:val="auto"/>
              </w:rPr>
            </w:pPr>
          </w:p>
        </w:tc>
        <w:tc>
          <w:tcPr>
            <w:tcW w:w="9020" w:type="dxa"/>
            <w:vAlign w:val="bottom"/>
            <w:gridSpan w:val="37"/>
            <w:shd w:val="clear" w:color="auto" w:fill="CCEEFF"/>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Credit Agreement, dated as of December 10, 2019, among Playtika Holding Corp., the lenders party thereto and Credit Suisse AG, Cayman Islands</w:t>
              </w:r>
            </w:hyperlink>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260" w:type="dxa"/>
            <w:vAlign w:val="bottom"/>
            <w:tcBorders>
              <w:top w:val="single" w:sz="8" w:color="CCEEFF"/>
              <w:bottom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10.17</w:t>
            </w:r>
          </w:p>
        </w:tc>
        <w:tc>
          <w:tcPr>
            <w:tcW w:w="8520" w:type="dxa"/>
            <w:vAlign w:val="bottom"/>
            <w:tcBorders>
              <w:top w:val="single" w:sz="8" w:color="0000FF"/>
              <w:bottom w:val="single" w:sz="8" w:color="0000FF"/>
            </w:tcBorders>
            <w:gridSpan w:val="27"/>
            <w:shd w:val="clear" w:color="auto" w:fill="CCEEFF"/>
          </w:tcPr>
          <w:p>
            <w:pPr>
              <w:spacing w:after="0" w:line="12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Branch, as administrative agent and collateral agent and the other parties thereto (incorporated herein by reference to Exhibit 10.24 to the Company’s</w:t>
              </w:r>
            </w:hyperlink>
          </w:p>
        </w:tc>
        <w:tc>
          <w:tcPr>
            <w:tcW w:w="20" w:type="dxa"/>
            <w:vAlign w:val="bottom"/>
            <w:tcBorders>
              <w:top w:val="single" w:sz="8" w:color="CCEEFF"/>
              <w:bottom w:val="single" w:sz="8" w:color="0000FF"/>
            </w:tcBorders>
            <w:shd w:val="clear" w:color="auto" w:fill="CCEEFF"/>
          </w:tcPr>
          <w:p>
            <w:pPr>
              <w:spacing w:after="0"/>
              <w:rPr>
                <w:sz w:val="11"/>
                <w:szCs w:val="11"/>
                <w:color w:val="auto"/>
              </w:rPr>
            </w:pPr>
          </w:p>
        </w:tc>
        <w:tc>
          <w:tcPr>
            <w:tcW w:w="20" w:type="dxa"/>
            <w:vAlign w:val="bottom"/>
            <w:tcBorders>
              <w:top w:val="single" w:sz="8" w:color="CCEEFF"/>
              <w:bottom w:val="single" w:sz="8" w:color="0000FF"/>
            </w:tcBorders>
            <w:shd w:val="clear" w:color="auto" w:fill="CCEEFF"/>
          </w:tcPr>
          <w:p>
            <w:pPr>
              <w:spacing w:after="0"/>
              <w:rPr>
                <w:sz w:val="11"/>
                <w:szCs w:val="11"/>
                <w:color w:val="auto"/>
              </w:rPr>
            </w:pPr>
          </w:p>
        </w:tc>
        <w:tc>
          <w:tcPr>
            <w:tcW w:w="40" w:type="dxa"/>
            <w:vAlign w:val="bottom"/>
            <w:tcBorders>
              <w:top w:val="single" w:sz="8" w:color="CCEEFF"/>
              <w:bottom w:val="single" w:sz="8" w:color="0000FF"/>
            </w:tcBorders>
            <w:shd w:val="clear" w:color="auto" w:fill="CCEEFF"/>
          </w:tcPr>
          <w:p>
            <w:pPr>
              <w:spacing w:after="0"/>
              <w:rPr>
                <w:sz w:val="11"/>
                <w:szCs w:val="11"/>
                <w:color w:val="auto"/>
              </w:rPr>
            </w:pPr>
          </w:p>
        </w:tc>
        <w:tc>
          <w:tcPr>
            <w:tcW w:w="20" w:type="dxa"/>
            <w:vAlign w:val="bottom"/>
            <w:tcBorders>
              <w:top w:val="single" w:sz="8" w:color="CCEEFF"/>
              <w:bottom w:val="single" w:sz="8" w:color="0000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tcBorders>
              <w:bottom w:val="single" w:sz="8" w:color="CCEEFF"/>
            </w:tcBorders>
            <w:vMerge w:val="continue"/>
            <w:shd w:val="clear" w:color="auto" w:fill="CCEEFF"/>
          </w:tcPr>
          <w:p>
            <w:pPr>
              <w:spacing w:after="0"/>
              <w:rPr>
                <w:sz w:val="12"/>
                <w:szCs w:val="12"/>
                <w:color w:val="auto"/>
              </w:rPr>
            </w:pPr>
          </w:p>
        </w:tc>
        <w:tc>
          <w:tcPr>
            <w:tcW w:w="4780" w:type="dxa"/>
            <w:vAlign w:val="bottom"/>
            <w:tcBorders>
              <w:bottom w:val="single" w:sz="8" w:color="0000FF"/>
            </w:tcBorders>
            <w:gridSpan w:val="5"/>
            <w:shd w:val="clear" w:color="auto" w:fill="CCEEFF"/>
          </w:tcPr>
          <w:p>
            <w:pPr>
              <w:spacing w:after="0" w:line="115" w:lineRule="exact"/>
              <w:rPr>
                <w:rFonts w:ascii="Times New Roman" w:cs="Times New Roman" w:eastAsia="Times New Roman" w:hAnsi="Times New Roman"/>
                <w:sz w:val="13"/>
                <w:szCs w:val="13"/>
                <w:color w:val="0000FF"/>
              </w:rPr>
            </w:pPr>
            <w:hyperlink r:id="rId202">
              <w:r>
                <w:rPr>
                  <w:rFonts w:ascii="Times New Roman" w:cs="Times New Roman" w:eastAsia="Times New Roman" w:hAnsi="Times New Roman"/>
                  <w:sz w:val="13"/>
                  <w:szCs w:val="13"/>
                  <w:color w:val="0000FF"/>
                </w:rPr>
                <w:t>Registration Statement on Form S-1, as filed with the SEC on December 18, 2020)</w:t>
              </w:r>
            </w:hyperlink>
          </w:p>
        </w:tc>
        <w:tc>
          <w:tcPr>
            <w:tcW w:w="3840" w:type="dxa"/>
            <w:vAlign w:val="bottom"/>
            <w:tcBorders>
              <w:bottom w:val="single" w:sz="8" w:color="CCEEFF"/>
            </w:tcBorders>
            <w:gridSpan w:val="26"/>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8640" w:type="dxa"/>
            <w:vAlign w:val="bottom"/>
            <w:tcBorders>
              <w:bottom w:val="single" w:sz="8" w:color="0000FF"/>
            </w:tcBorders>
            <w:gridSpan w:val="32"/>
          </w:tcPr>
          <w:p>
            <w:pPr>
              <w:spacing w:after="0" w:line="14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Incremental Assumption Agreement No. 1, dated as of June 15, 2020, among Playtika Holding Corp., the lenders party thereto and Credit Suisse AG,</w:t>
              </w:r>
            </w:hyperlink>
          </w:p>
        </w:tc>
        <w:tc>
          <w:tcPr>
            <w:tcW w:w="380" w:type="dxa"/>
            <w:vAlign w:val="bottom"/>
            <w:gridSpan w:val="5"/>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10.18</w:t>
            </w:r>
          </w:p>
        </w:tc>
        <w:tc>
          <w:tcPr>
            <w:tcW w:w="9020" w:type="dxa"/>
            <w:vAlign w:val="bottom"/>
            <w:gridSpan w:val="37"/>
          </w:tcPr>
          <w:p>
            <w:pPr>
              <w:spacing w:after="0" w:line="12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Cayman Islands Branch, as administrative agent and collateral agent and the other parties thereto (incorporated herein by reference to Exhibit 10.25 to</w:t>
              </w:r>
            </w:hyperlink>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680" w:type="dxa"/>
            <w:vAlign w:val="bottom"/>
            <w:tcBorders>
              <w:top w:val="single" w:sz="8" w:color="0000FF"/>
            </w:tcBorders>
            <w:gridSpan w:val="34"/>
          </w:tcPr>
          <w:p>
            <w:pPr>
              <w:spacing w:after="0" w:line="115" w:lineRule="exact"/>
              <w:rPr>
                <w:rFonts w:ascii="Times New Roman" w:cs="Times New Roman" w:eastAsia="Times New Roman" w:hAnsi="Times New Roman"/>
                <w:sz w:val="13"/>
                <w:szCs w:val="13"/>
                <w:color w:val="0000FF"/>
              </w:rPr>
            </w:pPr>
            <w:hyperlink r:id="rId203">
              <w:r>
                <w:rPr>
                  <w:rFonts w:ascii="Times New Roman" w:cs="Times New Roman" w:eastAsia="Times New Roman" w:hAnsi="Times New Roman"/>
                  <w:sz w:val="13"/>
                  <w:szCs w:val="13"/>
                  <w:color w:val="0000FF"/>
                </w:rPr>
                <w:t>the Company’s Registration Statement on Form S-1, as filed with the SEC on December 18,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7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tcBorders>
              <w:bottom w:val="single" w:sz="8" w:color="CCEEFF"/>
            </w:tcBorders>
            <w:shd w:val="clear" w:color="auto" w:fill="CCEEFF"/>
          </w:tcPr>
          <w:p>
            <w:pPr>
              <w:spacing w:after="0"/>
              <w:rPr>
                <w:sz w:val="12"/>
                <w:szCs w:val="12"/>
                <w:color w:val="auto"/>
              </w:rPr>
            </w:pPr>
          </w:p>
        </w:tc>
        <w:tc>
          <w:tcPr>
            <w:tcW w:w="8600" w:type="dxa"/>
            <w:vAlign w:val="bottom"/>
            <w:tcBorders>
              <w:bottom w:val="single" w:sz="8" w:color="0000FF"/>
            </w:tcBorders>
            <w:gridSpan w:val="30"/>
            <w:shd w:val="clear" w:color="auto" w:fill="CCEEFF"/>
          </w:tcPr>
          <w:p>
            <w:pPr>
              <w:spacing w:after="0" w:line="149"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First Amendment to Credit Agreement, dated as of October 23, 2020, among Playtika Holding Corp., the lenders party thereto and Credit Suisse AG,</w:t>
              </w:r>
            </w:hyperlink>
          </w:p>
        </w:tc>
        <w:tc>
          <w:tcPr>
            <w:tcW w:w="420" w:type="dxa"/>
            <w:vAlign w:val="bottom"/>
            <w:tcBorders>
              <w:bottom w:val="single" w:sz="8" w:color="CCEEFF"/>
            </w:tcBorders>
            <w:gridSpan w:val="7"/>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10.19</w:t>
            </w:r>
          </w:p>
        </w:tc>
        <w:tc>
          <w:tcPr>
            <w:tcW w:w="9020" w:type="dxa"/>
            <w:vAlign w:val="bottom"/>
            <w:gridSpan w:val="37"/>
            <w:shd w:val="clear" w:color="auto" w:fill="CCEEFF"/>
          </w:tcPr>
          <w:p>
            <w:pPr>
              <w:spacing w:after="0" w:line="129"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Cayman Islands Branch, as administrative agent and collateral agent and the other parties thereto (incorporated herein by reference to Exhibit 10.26 to</w:t>
              </w:r>
            </w:hyperlink>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6720" w:type="dxa"/>
            <w:vAlign w:val="bottom"/>
            <w:tcBorders>
              <w:top w:val="single" w:sz="8" w:color="0000FF"/>
              <w:bottom w:val="single" w:sz="8" w:color="0000FF"/>
            </w:tcBorders>
            <w:gridSpan w:val="16"/>
            <w:shd w:val="clear" w:color="auto" w:fill="CCEEFF"/>
          </w:tcPr>
          <w:p>
            <w:pPr>
              <w:spacing w:after="0" w:line="115" w:lineRule="exact"/>
              <w:rPr>
                <w:rFonts w:ascii="Times New Roman" w:cs="Times New Roman" w:eastAsia="Times New Roman" w:hAnsi="Times New Roman"/>
                <w:sz w:val="13"/>
                <w:szCs w:val="13"/>
                <w:color w:val="0000FF"/>
              </w:rPr>
            </w:pPr>
            <w:hyperlink r:id="rId204">
              <w:r>
                <w:rPr>
                  <w:rFonts w:ascii="Times New Roman" w:cs="Times New Roman" w:eastAsia="Times New Roman" w:hAnsi="Times New Roman"/>
                  <w:sz w:val="13"/>
                  <w:szCs w:val="13"/>
                  <w:color w:val="0000FF"/>
                </w:rPr>
                <w:t>Amendment No. 1 to the Company’s Registration Statement on Form S-1, as filed with the SEC on January 7, 2021)</w:t>
              </w:r>
            </w:hyperlink>
          </w:p>
        </w:tc>
        <w:tc>
          <w:tcPr>
            <w:tcW w:w="1960" w:type="dxa"/>
            <w:vAlign w:val="bottom"/>
            <w:tcBorders>
              <w:top w:val="single" w:sz="8" w:color="0000FF"/>
              <w:bottom w:val="single" w:sz="8" w:color="CCEEFF"/>
            </w:tcBorders>
            <w:gridSpan w:val="18"/>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020" w:type="dxa"/>
            <w:vAlign w:val="bottom"/>
            <w:gridSpan w:val="37"/>
          </w:tcPr>
          <w:p>
            <w:pPr>
              <w:spacing w:after="0" w:line="149"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Incremental Assumption Agreement No. 2, dated as of January 14, 2021, among Playtika Holding Corp., the lenders party thereto and Credit Suisse</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10.20</w:t>
            </w:r>
          </w:p>
        </w:tc>
        <w:tc>
          <w:tcPr>
            <w:tcW w:w="8560" w:type="dxa"/>
            <w:vAlign w:val="bottom"/>
            <w:tcBorders>
              <w:top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AG, Cayman Islands Branch, as administrative agent and collateral agent and the other parties thereto (incorporated herein by reference to Exhibit</w:t>
              </w:r>
            </w:hyperlink>
          </w:p>
        </w:tc>
        <w:tc>
          <w:tcPr>
            <w:tcW w:w="10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460" w:type="dxa"/>
            <w:vAlign w:val="bottom"/>
            <w:tcBorders>
              <w:top w:val="single" w:sz="8" w:color="0000FF"/>
            </w:tcBorders>
            <w:gridSpan w:val="24"/>
          </w:tcPr>
          <w:p>
            <w:pPr>
              <w:spacing w:after="0" w:line="115" w:lineRule="exact"/>
              <w:rPr>
                <w:rFonts w:ascii="Times New Roman" w:cs="Times New Roman" w:eastAsia="Times New Roman" w:hAnsi="Times New Roman"/>
                <w:sz w:val="13"/>
                <w:szCs w:val="13"/>
                <w:color w:val="0000FF"/>
              </w:rPr>
            </w:pPr>
            <w:hyperlink r:id="rId205">
              <w:r>
                <w:rPr>
                  <w:rFonts w:ascii="Times New Roman" w:cs="Times New Roman" w:eastAsia="Times New Roman" w:hAnsi="Times New Roman"/>
                  <w:sz w:val="13"/>
                  <w:szCs w:val="13"/>
                  <w:color w:val="0000FF"/>
                </w:rPr>
                <w:t>10.1 to the Company’s Current Report on Form 8-K, as filed with the SEC on January 20,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7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10.21#</w:t>
            </w:r>
          </w:p>
        </w:tc>
        <w:tc>
          <w:tcPr>
            <w:tcW w:w="9020" w:type="dxa"/>
            <w:vAlign w:val="bottom"/>
            <w:gridSpan w:val="37"/>
            <w:shd w:val="clear" w:color="auto" w:fill="CCEEFF"/>
          </w:tcPr>
          <w:p>
            <w:pPr>
              <w:spacing w:after="0" w:line="149"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Employment Agreement, dated as of December 20, 2011, by and between Playtika Ltd. and Robert Antokol (incorporated herein by reference to</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vMerge w:val="continue"/>
            <w:shd w:val="clear" w:color="auto" w:fill="CCEEFF"/>
          </w:tcPr>
          <w:p>
            <w:pPr>
              <w:spacing w:after="0"/>
              <w:rPr>
                <w:sz w:val="11"/>
                <w:szCs w:val="11"/>
                <w:color w:val="auto"/>
              </w:rPr>
            </w:pPr>
          </w:p>
        </w:tc>
        <w:tc>
          <w:tcPr>
            <w:tcW w:w="8320" w:type="dxa"/>
            <w:vAlign w:val="bottom"/>
            <w:tcBorders>
              <w:top w:val="single" w:sz="8" w:color="0000FF"/>
            </w:tcBorders>
            <w:gridSpan w:val="19"/>
            <w:shd w:val="clear" w:color="auto" w:fill="CCEEFF"/>
          </w:tcPr>
          <w:p>
            <w:pPr>
              <w:spacing w:after="0" w:line="129"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Exhibit 10.27 to the Company’s Registration Statement on Form S-1, as filed with the SEC on December 18, 2020)</w:t>
              </w:r>
            </w:hyperlink>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tcBorders>
            <w:gridSpan w:val="5"/>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10.21.1#</w:t>
            </w:r>
          </w:p>
        </w:tc>
        <w:tc>
          <w:tcPr>
            <w:tcW w:w="9020" w:type="dxa"/>
            <w:vAlign w:val="bottom"/>
            <w:gridSpan w:val="37"/>
          </w:tcPr>
          <w:p>
            <w:pPr>
              <w:spacing w:after="0" w:line="149" w:lineRule="exact"/>
              <w:rPr>
                <w:sz w:val="20"/>
                <w:szCs w:val="20"/>
                <w:color w:val="auto"/>
              </w:rPr>
            </w:pPr>
            <w:r>
              <w:rPr>
                <w:rFonts w:ascii="Times New Roman" w:cs="Times New Roman" w:eastAsia="Times New Roman" w:hAnsi="Times New Roman"/>
                <w:sz w:val="14"/>
                <w:szCs w:val="14"/>
                <w:color w:val="0000FF"/>
              </w:rPr>
              <w:t>Amendment to Employment Agreement, dated as of December 12, 2022, by and between Playtika Ltd. and Robert Antokol</w:t>
            </w:r>
          </w:p>
        </w:tc>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7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10.22#</w:t>
            </w:r>
          </w:p>
        </w:tc>
        <w:tc>
          <w:tcPr>
            <w:tcW w:w="9020" w:type="dxa"/>
            <w:vAlign w:val="bottom"/>
            <w:gridSpan w:val="37"/>
            <w:shd w:val="clear" w:color="auto" w:fill="CCEEFF"/>
          </w:tcPr>
          <w:p>
            <w:pPr>
              <w:spacing w:after="0" w:line="149"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Employment Agreement, dated as of March 15, 2017, by and between Playtika Ltd. and Nir Korczak (incorporated herein by reference to Exhibit</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6180" w:type="dxa"/>
            <w:vAlign w:val="bottom"/>
            <w:tcBorders>
              <w:top w:val="single" w:sz="8" w:color="0000FF"/>
              <w:bottom w:val="single" w:sz="8" w:color="0000FF"/>
            </w:tcBorders>
            <w:gridSpan w:val="14"/>
            <w:shd w:val="clear" w:color="auto" w:fill="CCEEFF"/>
          </w:tcPr>
          <w:p>
            <w:pPr>
              <w:spacing w:after="0" w:line="129"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29</w:t>
              </w:r>
              <w:r>
                <w:rPr>
                  <w:rFonts w:ascii="Times New Roman" w:cs="Times New Roman" w:eastAsia="Times New Roman" w:hAnsi="Times New Roman"/>
                  <w:sz w:val="14"/>
                  <w:szCs w:val="14"/>
                  <w:color w:val="0000FF"/>
                </w:rPr>
                <w:t xml:space="preserve"> to the Company's Registration Statement on Form S-1, as filed with the SEC on December 18, 2020)</w:t>
              </w:r>
            </w:hyperlink>
          </w:p>
        </w:tc>
        <w:tc>
          <w:tcPr>
            <w:tcW w:w="2220" w:type="dxa"/>
            <w:vAlign w:val="bottom"/>
            <w:tcBorders>
              <w:top w:val="single" w:sz="8" w:color="0000FF"/>
              <w:bottom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10.23#</w:t>
            </w:r>
          </w:p>
        </w:tc>
        <w:tc>
          <w:tcPr>
            <w:tcW w:w="9020" w:type="dxa"/>
            <w:vAlign w:val="bottom"/>
            <w:gridSpan w:val="37"/>
          </w:tcPr>
          <w:p>
            <w:pPr>
              <w:spacing w:after="0" w:line="149" w:lineRule="exact"/>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Employment Agreement, dated as of April 2, 2018, by and between Playtika Ltd. and Yael Yehudai (incorporated herein by reference to Exhibit 10.30</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66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to the Company’s Registration Statement on Form S-1, as filed with the SEC on December 18, 2020)</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7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10.24#</w:t>
            </w:r>
          </w:p>
        </w:tc>
        <w:tc>
          <w:tcPr>
            <w:tcW w:w="9020" w:type="dxa"/>
            <w:vAlign w:val="bottom"/>
            <w:gridSpan w:val="37"/>
            <w:shd w:val="clear" w:color="auto" w:fill="CCEEFF"/>
          </w:tcPr>
          <w:p>
            <w:pPr>
              <w:spacing w:after="0" w:line="149"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Employment Agreement, dated as of December 4, 2011, by and between Playtika Ltd. and Shlomi Aizenberg (incorporated herein by reference to</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vMerge w:val="continue"/>
            <w:shd w:val="clear" w:color="auto" w:fill="CCEEFF"/>
          </w:tcPr>
          <w:p>
            <w:pPr>
              <w:spacing w:after="0"/>
              <w:rPr>
                <w:sz w:val="11"/>
                <w:szCs w:val="11"/>
                <w:color w:val="auto"/>
              </w:rPr>
            </w:pPr>
          </w:p>
        </w:tc>
        <w:tc>
          <w:tcPr>
            <w:tcW w:w="8420" w:type="dxa"/>
            <w:vAlign w:val="bottom"/>
            <w:tcBorders>
              <w:top w:val="single" w:sz="8" w:color="0000FF"/>
            </w:tcBorders>
            <w:gridSpan w:val="22"/>
            <w:shd w:val="clear" w:color="auto" w:fill="CCEEFF"/>
          </w:tcPr>
          <w:p>
            <w:pPr>
              <w:spacing w:after="0" w:line="129"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Exhibit 10.31 to the Company’s Registration Statement on Form S-1, as filed with the SEC on December 18, 2020)</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CCEEFF"/>
            </w:tcBorders>
            <w:gridSpan w:val="7"/>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10.25#</w:t>
            </w:r>
          </w:p>
        </w:tc>
        <w:tc>
          <w:tcPr>
            <w:tcW w:w="9020" w:type="dxa"/>
            <w:vAlign w:val="bottom"/>
            <w:gridSpan w:val="37"/>
          </w:tcPr>
          <w:p>
            <w:pPr>
              <w:spacing w:after="0" w:line="14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Employment Agreement, dated as of May 25, 2011, by and between Playtika Ltd. and Ofer Kinberg (incorporated herein by reference to Exhibit 10.32</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720" w:type="dxa"/>
            <w:vAlign w:val="bottom"/>
            <w:tcBorders>
              <w:top w:val="single" w:sz="8" w:color="0000FF"/>
            </w:tcBorders>
            <w:gridSpan w:val="36"/>
          </w:tcPr>
          <w:p>
            <w:pPr>
              <w:spacing w:after="0" w:line="12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to the Company’s Registration Statement on Form S-1, as filed with the SEC on December 18, 2020)</w:t>
              </w:r>
            </w:hyperlink>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7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10.25.1#</w:t>
            </w:r>
          </w:p>
        </w:tc>
        <w:tc>
          <w:tcPr>
            <w:tcW w:w="9020" w:type="dxa"/>
            <w:vAlign w:val="bottom"/>
            <w:gridSpan w:val="37"/>
            <w:shd w:val="clear" w:color="auto" w:fill="CCEEFF"/>
          </w:tcPr>
          <w:p>
            <w:pPr>
              <w:spacing w:after="0" w:line="14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Amendment to Employment Agreement, dated as of December 15, 2014, by and between Playtika Ltd. and Ofer Kinberg (incorporated herein by</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7480" w:type="dxa"/>
            <w:vAlign w:val="bottom"/>
            <w:tcBorders>
              <w:top w:val="single" w:sz="8" w:color="0000FF"/>
              <w:bottom w:val="single" w:sz="8" w:color="0000FF"/>
            </w:tcBorders>
            <w:gridSpan w:val="18"/>
            <w:shd w:val="clear" w:color="auto" w:fill="CCEEFF"/>
          </w:tcPr>
          <w:p>
            <w:pPr>
              <w:spacing w:after="0" w:line="12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reference to Exhibit 10.32.1 to the Company’s Registration Statement on Form S-1, as filed with the SEC on December 18, 2020)</w:t>
              </w:r>
            </w:hyperlink>
          </w:p>
        </w:tc>
        <w:tc>
          <w:tcPr>
            <w:tcW w:w="900" w:type="dxa"/>
            <w:vAlign w:val="bottom"/>
            <w:tcBorders>
              <w:top w:val="single" w:sz="8" w:color="0000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7"/>
            <w:shd w:val="clear" w:color="auto" w:fill="CCEEFF"/>
          </w:tcPr>
          <w:p>
            <w:pPr>
              <w:spacing w:after="0"/>
              <w:rPr>
                <w:sz w:val="12"/>
                <w:szCs w:val="12"/>
                <w:color w:val="auto"/>
              </w:rPr>
            </w:pPr>
          </w:p>
        </w:tc>
        <w:tc>
          <w:tcPr>
            <w:tcW w:w="3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10.26#</w:t>
            </w:r>
          </w:p>
        </w:tc>
        <w:tc>
          <w:tcPr>
            <w:tcW w:w="9020" w:type="dxa"/>
            <w:vAlign w:val="bottom"/>
            <w:gridSpan w:val="37"/>
          </w:tcPr>
          <w:p>
            <w:pPr>
              <w:spacing w:after="0" w:line="14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Employment Agreement, dated as of August 17, 2016, by and between Playtika Ltd. and Erez Rachmil (incorporated herein by reference to Exhibit</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54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the Company’s Quarter Report on Form 10-Q, as filed with the SEC on November 4, 2021)</w:t>
              </w:r>
            </w:hyperlink>
          </w:p>
        </w:tc>
        <w:tc>
          <w:tcPr>
            <w:tcW w:w="160" w:type="dxa"/>
            <w:vAlign w:val="bottom"/>
            <w:gridSpan w:val="7"/>
          </w:tcPr>
          <w:p>
            <w:pPr>
              <w:spacing w:after="0"/>
              <w:rPr>
                <w:sz w:val="11"/>
                <w:szCs w:val="11"/>
                <w:color w:val="auto"/>
              </w:rPr>
            </w:pPr>
          </w:p>
        </w:tc>
        <w:tc>
          <w:tcPr>
            <w:tcW w:w="32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7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10.27#</w:t>
            </w:r>
          </w:p>
        </w:tc>
        <w:tc>
          <w:tcPr>
            <w:tcW w:w="9020" w:type="dxa"/>
            <w:vAlign w:val="bottom"/>
            <w:gridSpan w:val="37"/>
            <w:shd w:val="clear" w:color="auto" w:fill="CCEEFF"/>
          </w:tcPr>
          <w:p>
            <w:pPr>
              <w:spacing w:after="0" w:line="14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Form of Performance Stock Unit Agreement under 2020 Incentive Award Plan (incorporated herein by reference to Exhibit 10.1 to the Company’s</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4280" w:type="dxa"/>
            <w:vAlign w:val="bottom"/>
            <w:tcBorders>
              <w:top w:val="single" w:sz="8" w:color="0000FF"/>
              <w:bottom w:val="single" w:sz="8" w:color="0000FF"/>
            </w:tcBorders>
            <w:gridSpan w:val="4"/>
            <w:shd w:val="clear" w:color="auto" w:fill="CCEEFF"/>
          </w:tcPr>
          <w:p>
            <w:pPr>
              <w:spacing w:after="0" w:line="12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Current Report on Form 8-K, as filed with the SEC on February 11, 2022)</w:t>
              </w:r>
            </w:hyperlink>
          </w:p>
        </w:tc>
        <w:tc>
          <w:tcPr>
            <w:tcW w:w="4200" w:type="dxa"/>
            <w:vAlign w:val="bottom"/>
            <w:tcBorders>
              <w:top w:val="single" w:sz="8" w:color="0000FF"/>
              <w:bottom w:val="single" w:sz="8" w:color="CCEEFF"/>
            </w:tcBorders>
            <w:gridSpan w:val="21"/>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gridSpan w:val="9"/>
            <w:shd w:val="clear" w:color="auto" w:fill="CCEEFF"/>
          </w:tcPr>
          <w:p>
            <w:pPr>
              <w:spacing w:after="0"/>
              <w:rPr>
                <w:sz w:val="12"/>
                <w:szCs w:val="12"/>
                <w:color w:val="auto"/>
              </w:rPr>
            </w:pPr>
          </w:p>
        </w:tc>
        <w:tc>
          <w:tcPr>
            <w:tcW w:w="3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10.28#</w:t>
            </w:r>
          </w:p>
        </w:tc>
        <w:tc>
          <w:tcPr>
            <w:tcW w:w="9020" w:type="dxa"/>
            <w:vAlign w:val="bottom"/>
            <w:gridSpan w:val="37"/>
          </w:tcPr>
          <w:p>
            <w:pPr>
              <w:spacing w:after="0" w:line="14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Form of Performance Stock Unit Agreement for Israeli Participants under 2020 Incentive Award Plan (incorporated herein by reference to Exhibit</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44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the Company’s Current Report on Form 8-K, as filed with the SEC on February 11, 2022)</w:t>
              </w:r>
            </w:hyperlink>
          </w:p>
        </w:tc>
        <w:tc>
          <w:tcPr>
            <w:tcW w:w="60" w:type="dxa"/>
            <w:vAlign w:val="bottom"/>
            <w:gridSpan w:val="3"/>
          </w:tcPr>
          <w:p>
            <w:pPr>
              <w:spacing w:after="0"/>
              <w:rPr>
                <w:sz w:val="11"/>
                <w:szCs w:val="11"/>
                <w:color w:val="auto"/>
              </w:rPr>
            </w:pPr>
          </w:p>
        </w:tc>
        <w:tc>
          <w:tcPr>
            <w:tcW w:w="200" w:type="dxa"/>
            <w:vAlign w:val="bottom"/>
            <w:gridSpan w:val="9"/>
          </w:tcPr>
          <w:p>
            <w:pPr>
              <w:spacing w:after="0"/>
              <w:rPr>
                <w:sz w:val="11"/>
                <w:szCs w:val="11"/>
                <w:color w:val="auto"/>
              </w:rPr>
            </w:pPr>
          </w:p>
        </w:tc>
        <w:tc>
          <w:tcPr>
            <w:tcW w:w="32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7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10.29#</w:t>
            </w:r>
          </w:p>
        </w:tc>
        <w:tc>
          <w:tcPr>
            <w:tcW w:w="9020" w:type="dxa"/>
            <w:vAlign w:val="bottom"/>
            <w:gridSpan w:val="37"/>
            <w:shd w:val="clear" w:color="auto" w:fill="CCEEFF"/>
          </w:tcPr>
          <w:p>
            <w:pPr>
              <w:spacing w:after="0" w:line="14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Employment Agreement, dated as of December 6, 2016, by and between Playtika Ltd. and Eric Rapps (incorporated herein by reference to Exhibit 4.4</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5160" w:type="dxa"/>
            <w:vAlign w:val="bottom"/>
            <w:tcBorders>
              <w:top w:val="single" w:sz="8" w:color="0000FF"/>
              <w:bottom w:val="single" w:sz="8" w:color="0000FF"/>
            </w:tcBorders>
            <w:gridSpan w:val="6"/>
            <w:shd w:val="clear" w:color="auto" w:fill="CCEEFF"/>
          </w:tcPr>
          <w:p>
            <w:pPr>
              <w:spacing w:after="0" w:line="12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to the Company's Annual Report on Form 10-K, as filed with the SEC on March 1, 2022)</w:t>
              </w:r>
            </w:hyperlink>
          </w:p>
        </w:tc>
        <w:tc>
          <w:tcPr>
            <w:tcW w:w="3540" w:type="dxa"/>
            <w:vAlign w:val="bottom"/>
            <w:tcBorders>
              <w:top w:val="single" w:sz="8" w:color="0000FF"/>
              <w:bottom w:val="single" w:sz="8" w:color="CCEEFF"/>
            </w:tcBorders>
            <w:gridSpan w:val="29"/>
            <w:shd w:val="clear" w:color="auto" w:fill="CCEEFF"/>
          </w:tcPr>
          <w:p>
            <w:pPr>
              <w:spacing w:after="0"/>
              <w:rPr>
                <w:sz w:val="12"/>
                <w:szCs w:val="12"/>
                <w:color w:val="auto"/>
              </w:rPr>
            </w:pPr>
          </w:p>
        </w:tc>
        <w:tc>
          <w:tcPr>
            <w:tcW w:w="3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10.30#</w:t>
            </w:r>
          </w:p>
        </w:tc>
        <w:tc>
          <w:tcPr>
            <w:tcW w:w="9020" w:type="dxa"/>
            <w:vAlign w:val="bottom"/>
            <w:gridSpan w:val="37"/>
          </w:tcPr>
          <w:p>
            <w:pPr>
              <w:spacing w:after="0" w:line="14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Form of Amendment to Performance Stock Unit Agreement (incorporated herein by reference to Exhibit 10.1 to the Company’s Current Report on</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50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Form 8-K, as filed with the SEC on November 14, 2022)</w:t>
              </w:r>
            </w:hyperlink>
          </w:p>
        </w:tc>
        <w:tc>
          <w:tcPr>
            <w:tcW w:w="520" w:type="dxa"/>
            <w:vAlign w:val="bottom"/>
            <w:gridSpan w:val="11"/>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7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9020" w:type="dxa"/>
            <w:vAlign w:val="bottom"/>
            <w:gridSpan w:val="3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List of Significant Subsidiaries of the Registrant</w:t>
            </w:r>
          </w:p>
        </w:tc>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9020" w:type="dxa"/>
            <w:vAlign w:val="bottom"/>
            <w:gridSpan w:val="37"/>
          </w:tcPr>
          <w:p>
            <w:pPr>
              <w:spacing w:after="0" w:line="14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7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9020" w:type="dxa"/>
            <w:vAlign w:val="bottom"/>
            <w:gridSpan w:val="3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5740" w:type="dxa"/>
            <w:vAlign w:val="bottom"/>
            <w:tcBorders>
              <w:top w:val="single" w:sz="8" w:color="0000FF"/>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3280" w:type="dxa"/>
            <w:vAlign w:val="bottom"/>
            <w:tcBorders>
              <w:top w:val="single" w:sz="8" w:color="CCEEFF"/>
            </w:tcBorders>
            <w:gridSpan w:val="26"/>
          </w:tcPr>
          <w:p>
            <w:pPr>
              <w:spacing w:after="0"/>
              <w:rPr>
                <w:sz w:val="12"/>
                <w:szCs w:val="12"/>
                <w:color w:val="auto"/>
              </w:rPr>
            </w:pPr>
          </w:p>
        </w:tc>
        <w:tc>
          <w:tcPr>
            <w:tcW w:w="960" w:type="dxa"/>
            <w:vAlign w:val="bottom"/>
            <w:tcBorders>
              <w:top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7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9020" w:type="dxa"/>
            <w:vAlign w:val="bottom"/>
            <w:gridSpan w:val="3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48"/>
        </w:trPr>
        <w:tc>
          <w:tcPr>
            <w:tcW w:w="1260" w:type="dxa"/>
            <w:vAlign w:val="bottom"/>
            <w:tcBorders>
              <w:top w:val="single" w:sz="8" w:color="CCEEFF"/>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5740" w:type="dxa"/>
            <w:vAlign w:val="bottom"/>
            <w:tcBorders>
              <w:top w:val="single" w:sz="8" w:color="0000FF"/>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c>
          <w:tcPr>
            <w:tcW w:w="3280" w:type="dxa"/>
            <w:vAlign w:val="bottom"/>
            <w:tcBorders>
              <w:top w:val="single" w:sz="8" w:color="CCEEFF"/>
            </w:tcBorders>
            <w:gridSpan w:val="26"/>
          </w:tcPr>
          <w:p>
            <w:pPr>
              <w:spacing w:after="0"/>
              <w:rPr>
                <w:sz w:val="12"/>
                <w:szCs w:val="12"/>
                <w:color w:val="auto"/>
              </w:rPr>
            </w:pPr>
          </w:p>
        </w:tc>
        <w:tc>
          <w:tcPr>
            <w:tcW w:w="960" w:type="dxa"/>
            <w:vAlign w:val="bottom"/>
            <w:tcBorders>
              <w:top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7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101.INS</w:t>
            </w:r>
          </w:p>
        </w:tc>
        <w:tc>
          <w:tcPr>
            <w:tcW w:w="90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Inline Instance Document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95"/>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101.SCH</w:t>
            </w:r>
          </w:p>
        </w:tc>
        <w:tc>
          <w:tcPr>
            <w:tcW w:w="902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XBRL Inline Taxonomy Extension Schema Document</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101.CAL</w:t>
            </w:r>
          </w:p>
        </w:tc>
        <w:tc>
          <w:tcPr>
            <w:tcW w:w="90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Inline Taxonomy Extension Calculation Linkbase Document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95"/>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101.DEF</w:t>
            </w:r>
          </w:p>
        </w:tc>
        <w:tc>
          <w:tcPr>
            <w:tcW w:w="902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XBRL Inline Taxonomy Extension Calculation Definition Document</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101.LAB</w:t>
            </w:r>
          </w:p>
        </w:tc>
        <w:tc>
          <w:tcPr>
            <w:tcW w:w="90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Inline Taxonomy Extension Label Linkbase Document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95"/>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101.PRE</w:t>
            </w:r>
          </w:p>
        </w:tc>
        <w:tc>
          <w:tcPr>
            <w:tcW w:w="902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XBRL Inline Taxonomy Extension Presentation Linkbase Document</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104</w:t>
            </w:r>
          </w:p>
        </w:tc>
        <w:tc>
          <w:tcPr>
            <w:tcW w:w="90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6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7" w:name="page138"/>
    <w:bookmarkEnd w:id="137"/>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PLAYTIKA HOLDING CORP.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Antokol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Chairperson of the Board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as of 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138" w:name="page139"/>
    <w:bookmarkEnd w:id="138"/>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February 28,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23"/>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Antokol</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Antokol</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Chairperson of the Board of Directors</w:t>
            </w:r>
          </w:p>
        </w:tc>
      </w:tr>
      <w:tr>
        <w:trPr>
          <w:trHeight w:val="481"/>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Craig Abrahams</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Abrahams</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95"/>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Troy J. Vanke</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Troy J. Vanke</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5"/>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Beilinson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 Beilinson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5"/>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Bing Yuan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Bing Yuan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5"/>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Tian Lin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Tian Lin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5"/>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Dana Gross</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Dana Gross</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95"/>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Hong Du</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Du</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1220"/>
          </w:cols>
          <w:pgMar w:left="320" w:top="1417" w:right="3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45720</wp:posOffset>
            </wp:positionV>
            <wp:extent cx="4114800" cy="11144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41148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EMPLOYMENT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Robert Antokol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AMENDMENT is entered into as of December 12, 2022 between </w:t>
      </w:r>
      <w:r>
        <w:rPr>
          <w:rFonts w:ascii="Times New Roman" w:cs="Times New Roman" w:eastAsia="Times New Roman" w:hAnsi="Times New Roman"/>
          <w:sz w:val="20"/>
          <w:szCs w:val="20"/>
          <w:b w:val="1"/>
          <w:bCs w:val="1"/>
          <w:color w:val="auto"/>
        </w:rPr>
        <w:t>Robert Antokol</w:t>
      </w:r>
      <w:r>
        <w:rPr>
          <w:rFonts w:ascii="Times New Roman" w:cs="Times New Roman" w:eastAsia="Times New Roman" w:hAnsi="Times New Roman"/>
          <w:sz w:val="20"/>
          <w:szCs w:val="20"/>
          <w:color w:val="auto"/>
        </w:rPr>
        <w:t xml:space="preserve"> (I.D. No. 014552855) an individual residing at 12</w:t>
      </w:r>
    </w:p>
    <w:p>
      <w:pPr>
        <w:spacing w:after="0" w:line="221" w:lineRule="auto"/>
        <w:rPr>
          <w:sz w:val="20"/>
          <w:szCs w:val="20"/>
          <w:color w:val="auto"/>
        </w:rPr>
      </w:pPr>
      <w:r>
        <w:rPr>
          <w:rFonts w:ascii="Times New Roman" w:cs="Times New Roman" w:eastAsia="Times New Roman" w:hAnsi="Times New Roman"/>
          <w:sz w:val="20"/>
          <w:szCs w:val="20"/>
          <w:color w:val="auto"/>
        </w:rPr>
        <w:t>Nachal Tsin St., Hod Hasharon, Israel (the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Playtika Ltd.</w:t>
      </w:r>
      <w:r>
        <w:rPr>
          <w:rFonts w:ascii="Times New Roman" w:cs="Times New Roman" w:eastAsia="Times New Roman" w:hAnsi="Times New Roman"/>
          <w:sz w:val="20"/>
          <w:szCs w:val="20"/>
          <w:color w:val="auto"/>
        </w:rPr>
        <w:t xml:space="preserve"> registration number 514434133, whose principal place of business is located at 8 Hachoshlim St., Herzliya, Israel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the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respectively).</w:t>
      </w:r>
    </w:p>
    <w:p>
      <w:pPr>
        <w:spacing w:after="0" w:line="198" w:lineRule="exact"/>
        <w:rPr>
          <w:sz w:val="20"/>
          <w:szCs w:val="20"/>
          <w:color w:val="auto"/>
        </w:rPr>
      </w:pPr>
    </w:p>
    <w:p>
      <w:pPr>
        <w:ind w:left="1300" w:hanging="1295"/>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Employee is employed by the Company according to terms and understandings agreed upon between the parties in an Employment Agreement dated December 20, 2011 as amended from time to time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and</w:t>
      </w:r>
    </w:p>
    <w:p>
      <w:pPr>
        <w:spacing w:after="0" w:line="188" w:lineRule="exact"/>
        <w:rPr>
          <w:sz w:val="20"/>
          <w:szCs w:val="20"/>
          <w:color w:val="auto"/>
        </w:rPr>
      </w:pPr>
    </w:p>
    <w:p>
      <w:pPr>
        <w:ind w:left="1300" w:hanging="1295"/>
        <w:spacing w:after="0" w:line="23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 recognition of the challenges the Company is facing, the Employee has asked the Company to temporarily reduce his monthly gross salary; and,</w:t>
      </w:r>
    </w:p>
    <w:p>
      <w:pPr>
        <w:spacing w:after="0" w:line="16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parties agreed to amend and update the Employment Agreement as detailed hereinafter;</w:t>
      </w:r>
    </w:p>
    <w:p>
      <w:pPr>
        <w:spacing w:after="0" w:line="25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u w:val="single" w:color="auto"/>
          <w:color w:val="auto"/>
        </w:rPr>
        <w:t>The parties therefore declare and stipulate as follows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192" w:lineRule="exact"/>
        <w:rPr>
          <w:rFonts w:ascii="Times New Roman" w:cs="Times New Roman" w:eastAsia="Times New Roman" w:hAnsi="Times New Roman"/>
          <w:sz w:val="20"/>
          <w:szCs w:val="20"/>
          <w:color w:val="auto"/>
        </w:rPr>
      </w:pPr>
    </w:p>
    <w:p>
      <w:pPr>
        <w:ind w:left="1180" w:hanging="663"/>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1.1.The introduction of this Amendment shall form an integral part thereof, and shall be considered to be the same as the remaining provisions of the Amendment.</w:t>
      </w:r>
    </w:p>
    <w:p>
      <w:pPr>
        <w:spacing w:after="0" w:line="160" w:lineRule="exact"/>
        <w:rPr>
          <w:rFonts w:ascii="Times New Roman" w:cs="Times New Roman" w:eastAsia="Times New Roman" w:hAnsi="Times New Roman"/>
          <w:sz w:val="20"/>
          <w:szCs w:val="20"/>
          <w:color w:val="auto"/>
        </w:rPr>
      </w:pPr>
    </w:p>
    <w:p>
      <w:pPr>
        <w:ind w:left="1180" w:hanging="66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1.2.Unless explicitly stated otherwise in this Amendment, all expressions in the Amendment shall be interpreted in accordance with their meaning in the Employment Agreement.</w:t>
      </w:r>
    </w:p>
    <w:p>
      <w:pPr>
        <w:spacing w:after="0" w:line="147" w:lineRule="exact"/>
        <w:rPr>
          <w:rFonts w:ascii="Times New Roman" w:cs="Times New Roman" w:eastAsia="Times New Roman" w:hAnsi="Times New Roman"/>
          <w:sz w:val="20"/>
          <w:szCs w:val="20"/>
          <w:color w:val="auto"/>
        </w:rPr>
      </w:pPr>
    </w:p>
    <w:p>
      <w:pPr>
        <w:ind w:left="1180" w:right="20" w:hanging="66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1.3.In any case of contradiction between the provisions of the Employment Agreement and the provisions of this Amendment, the provisions of this Amendment shall prevail.</w:t>
      </w:r>
    </w:p>
    <w:p>
      <w:pPr>
        <w:spacing w:after="0" w:line="161" w:lineRule="exact"/>
        <w:rPr>
          <w:rFonts w:ascii="Times New Roman" w:cs="Times New Roman" w:eastAsia="Times New Roman" w:hAnsi="Times New Roman"/>
          <w:sz w:val="20"/>
          <w:szCs w:val="20"/>
          <w:color w:val="auto"/>
        </w:rPr>
      </w:pPr>
    </w:p>
    <w:p>
      <w:pPr>
        <w:ind w:left="1180" w:hanging="663"/>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1.4.Unless explicitly stated otherwise, and subject to the required changes and adjustments, all provisions of the Employment Agreement, not explicitly altered in this Amendment shall remain in full force and effect.</w:t>
      </w:r>
    </w:p>
    <w:p>
      <w:pPr>
        <w:spacing w:after="0" w:line="160" w:lineRule="exact"/>
        <w:rPr>
          <w:rFonts w:ascii="Times New Roman" w:cs="Times New Roman" w:eastAsia="Times New Roman" w:hAnsi="Times New Roman"/>
          <w:sz w:val="20"/>
          <w:szCs w:val="20"/>
          <w:color w:val="auto"/>
        </w:rPr>
      </w:pPr>
    </w:p>
    <w:p>
      <w:pPr>
        <w:ind w:left="1180" w:right="20" w:hanging="66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1.5.This Amendment shall be considered a "notice of changes to terms of employment" according to the Notice to Employee and Job Candidate Law (Terms of Employment and Candidate Screening and Selection) Law, 2002.</w:t>
      </w:r>
    </w:p>
    <w:p>
      <w:pPr>
        <w:spacing w:after="0" w:line="143" w:lineRule="exact"/>
        <w:rPr>
          <w:rFonts w:ascii="Times New Roman" w:cs="Times New Roman" w:eastAsia="Times New Roman" w:hAnsi="Times New Roman"/>
          <w:sz w:val="20"/>
          <w:szCs w:val="20"/>
          <w:color w:val="auto"/>
        </w:rPr>
      </w:pPr>
    </w:p>
    <w:p>
      <w:pPr>
        <w:ind w:left="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19"/>
          <w:szCs w:val="19"/>
          <w:color w:val="auto"/>
        </w:rPr>
        <w:t>This Amendment shall be effective as of January 1, 2023 (the “</w:t>
      </w:r>
      <w:r>
        <w:rPr>
          <w:rFonts w:ascii="Times New Roman" w:cs="Times New Roman" w:eastAsia="Times New Roman" w:hAnsi="Times New Roman"/>
          <w:sz w:val="19"/>
          <w:szCs w:val="19"/>
          <w:b w:val="1"/>
          <w:bCs w:val="1"/>
          <w:color w:val="auto"/>
        </w:rPr>
        <w:t>Commencement Date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5426075" cy="10801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5426075" cy="108013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45720</wp:posOffset>
            </wp:positionV>
            <wp:extent cx="4114800" cy="11144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41148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Compensation</w:t>
      </w:r>
    </w:p>
    <w:p>
      <w:pPr>
        <w:spacing w:after="0" w:line="175" w:lineRule="exact"/>
        <w:rPr>
          <w:rFonts w:ascii="Times New Roman" w:cs="Times New Roman" w:eastAsia="Times New Roman" w:hAnsi="Times New Roman"/>
          <w:sz w:val="20"/>
          <w:szCs w:val="20"/>
          <w:color w:val="auto"/>
        </w:rPr>
      </w:pPr>
    </w:p>
    <w:p>
      <w:pPr>
        <w:ind w:left="1180" w:right="20" w:hanging="663"/>
        <w:spacing w:after="0" w:line="23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2.1.From the Commencement Date and until December 31, 2024 (the “</w:t>
      </w:r>
      <w:r>
        <w:rPr>
          <w:rFonts w:ascii="Times New Roman" w:cs="Times New Roman" w:eastAsia="Times New Roman" w:hAnsi="Times New Roman"/>
          <w:sz w:val="20"/>
          <w:szCs w:val="20"/>
          <w:b w:val="1"/>
          <w:bCs w:val="1"/>
          <w:color w:val="auto"/>
        </w:rPr>
        <w:t>Reduction Period</w:t>
      </w:r>
      <w:r>
        <w:rPr>
          <w:rFonts w:ascii="Times New Roman" w:cs="Times New Roman" w:eastAsia="Times New Roman" w:hAnsi="Times New Roman"/>
          <w:sz w:val="20"/>
          <w:szCs w:val="20"/>
          <w:color w:val="auto"/>
        </w:rPr>
        <w:t>”), the Company shall pay Employee a monthly gross salary in an amount equal to the minimum wage per month in accordance with the Minimum Wage Law, 5747-1987, as it will be from time to time (the “</w:t>
      </w:r>
      <w:r>
        <w:rPr>
          <w:rFonts w:ascii="Times New Roman" w:cs="Times New Roman" w:eastAsia="Times New Roman" w:hAnsi="Times New Roman"/>
          <w:sz w:val="20"/>
          <w:szCs w:val="20"/>
          <w:b w:val="1"/>
          <w:bCs w:val="1"/>
          <w:color w:val="auto"/>
        </w:rPr>
        <w:t>Reduced Salary</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180" w:hanging="663"/>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2.2.During the Reduction Period, all payments and rights derived from the Salary as defined in the Employment Agreement, will be derived from the Reduced Salary. This includes, without derogating from the generality of the above said, all social and fringe benefits due to the Employee according to the Employment Agreement or any law.</w:t>
      </w:r>
    </w:p>
    <w:p>
      <w:pPr>
        <w:spacing w:after="0" w:line="148" w:lineRule="exact"/>
        <w:rPr>
          <w:rFonts w:ascii="Times New Roman" w:cs="Times New Roman" w:eastAsia="Times New Roman" w:hAnsi="Times New Roman"/>
          <w:sz w:val="20"/>
          <w:szCs w:val="20"/>
          <w:color w:val="auto"/>
        </w:rPr>
      </w:pPr>
    </w:p>
    <w:p>
      <w:pPr>
        <w:ind w:left="1180" w:hanging="663"/>
        <w:spacing w:after="0" w:line="2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2.3.The Reduced Salary detailed above, shall have prospective applicability only, from the Commencement Date on, and during the Reduction Period. It is hereby clarified that all sums and benefits due to the Employee in respect of the period of employment prior to the Commencement Date shall be in accordance and subject to the original terms of the Employment Agreement, even if paid after the Commencement Date. All sums and benefits due to the Employee in respect of the period of employment beginning on the Commencement Date and during the Reduction Period shall be in accordance with this Amendment.</w:t>
      </w:r>
    </w:p>
    <w:p>
      <w:pPr>
        <w:spacing w:after="0" w:line="150" w:lineRule="exact"/>
        <w:rPr>
          <w:rFonts w:ascii="Times New Roman" w:cs="Times New Roman" w:eastAsia="Times New Roman" w:hAnsi="Times New Roman"/>
          <w:sz w:val="20"/>
          <w:szCs w:val="20"/>
          <w:color w:val="auto"/>
        </w:rPr>
      </w:pPr>
    </w:p>
    <w:p>
      <w:pPr>
        <w:ind w:left="1180" w:hanging="66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2.4.At the end of the Reduction Period, the Employee's monthly salary will return to be the Salary as defined in the Employment Agreement or as agreed in the future between the parties.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Amendment as of the date first appearing above.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/s/ Robert Antokol</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Ariel Sandler</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Antokol</w:t>
            </w:r>
          </w:p>
        </w:tc>
        <w:tc>
          <w:tcPr>
            <w:tcW w:w="110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Playtika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1494790</wp:posOffset>
            </wp:positionV>
            <wp:extent cx="5426075" cy="10801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5426075" cy="108013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Subsidiaries of Playtika Holding Corporation</w:t>
            </w:r>
          </w:p>
        </w:tc>
      </w:tr>
      <w:tr>
        <w:trPr>
          <w:trHeight w:val="499"/>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of Organization</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Playtika Ltd.</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Playtika UK - House of Fun Limited</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Playtika Santa Monica Holdings, LLC</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Reworks Oy</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Supertreat GMBH</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34"/>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Wooga GMBH</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bl>
    <w:p>
      <w:pPr>
        <w:sectPr>
          <w:pgSz w:w="11900" w:h="16838" w:orient="portrait"/>
          <w:cols w:equalWidth="0" w:num="1">
            <w:col w:w="11240"/>
          </w:cols>
          <w:pgMar w:left="320" w:top="141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333-252158) pertaining to the 2020 Incentive Award Plan of Playtika Holding Corp. of our reports dated February 28, 2023, with respect to the consolidated financial statements of Playtika Holding Corp. and the effectiveness of internal control over financial reporting of Playtika Holding Corp., included in this Annual Report (Form 10-K) for the year ended December 31,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Ernst &amp; Young Global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ectPr>
          <w:pgSz w:w="11900" w:h="16838" w:orient="portrait"/>
          <w:cols w:equalWidth="0" w:num="1">
            <w:col w:w="11240"/>
          </w:cols>
          <w:pgMar w:left="320" w:top="141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Certification of</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Chief Executive Officer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Antokol, certify that:</w:t>
      </w:r>
    </w:p>
    <w:p>
      <w:pPr>
        <w:spacing w:after="0" w:line="248"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Playtika Holding Corp.;</w:t>
      </w:r>
    </w:p>
    <w:p>
      <w:pPr>
        <w:spacing w:after="0" w:line="248"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31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hanging="652"/>
        <w:spacing w:after="0" w:line="298" w:lineRule="auto"/>
        <w:tabs>
          <w:tab w:leader="none" w:pos="32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have:</w:t>
      </w:r>
    </w:p>
    <w:p>
      <w:pPr>
        <w:spacing w:after="0" w:line="243" w:lineRule="exact"/>
        <w:rPr>
          <w:rFonts w:ascii="Times New Roman" w:cs="Times New Roman" w:eastAsia="Times New Roman" w:hAnsi="Times New Roman"/>
          <w:sz w:val="16"/>
          <w:szCs w:val="16"/>
          <w:color w:val="auto"/>
        </w:rPr>
      </w:pPr>
    </w:p>
    <w:p>
      <w:pPr>
        <w:ind w:left="1300" w:hanging="644"/>
        <w:spacing w:after="0" w:line="263" w:lineRule="auto"/>
        <w:tabs>
          <w:tab w:leader="none" w:pos="1002"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6"/>
          <w:szCs w:val="16"/>
          <w:color w:val="auto"/>
        </w:rPr>
      </w:pPr>
    </w:p>
    <w:p>
      <w:pPr>
        <w:ind w:left="1300" w:hanging="644"/>
        <w:spacing w:after="0" w:line="280" w:lineRule="auto"/>
        <w:tabs>
          <w:tab w:leader="none" w:pos="994"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hanging="644"/>
        <w:spacing w:after="0" w:line="263" w:lineRule="auto"/>
        <w:tabs>
          <w:tab w:leader="none" w:pos="977"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hanging="652"/>
        <w:spacing w:after="0" w:line="280" w:lineRule="auto"/>
        <w:tabs>
          <w:tab w:leader="none" w:pos="36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20" w:hanging="644"/>
        <w:spacing w:after="0" w:line="280" w:lineRule="auto"/>
        <w:tabs>
          <w:tab w:leader="none" w:pos="101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20" w:hanging="644"/>
        <w:spacing w:after="0" w:line="298" w:lineRule="auto"/>
        <w:tabs>
          <w:tab w:leader="none" w:pos="959"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8"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6"/>
          <w:szCs w:val="16"/>
          <w:color w:val="auto"/>
        </w:rPr>
        <w:t>February 28, 2023</w:t>
      </w:r>
      <w:r>
        <w:rPr>
          <w:sz w:val="20"/>
          <w:szCs w:val="20"/>
          <w:color w:val="auto"/>
        </w:rPr>
        <w:tab/>
      </w:r>
      <w:r>
        <w:rPr>
          <w:rFonts w:ascii="Times New Roman" w:cs="Times New Roman" w:eastAsia="Times New Roman" w:hAnsi="Times New Roman"/>
          <w:sz w:val="16"/>
          <w:szCs w:val="16"/>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20320</wp:posOffset>
            </wp:positionV>
            <wp:extent cx="38404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Robert Antokol</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Chief Executive Officer and Chairperson of the Board</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42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Certification of</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Chief Financial Officer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Craig Abrahams, certify that:</w:t>
      </w:r>
    </w:p>
    <w:p>
      <w:pPr>
        <w:spacing w:after="0" w:line="248" w:lineRule="exact"/>
        <w:rPr>
          <w:sz w:val="20"/>
          <w:szCs w:val="20"/>
          <w:color w:val="auto"/>
        </w:rPr>
      </w:pPr>
    </w:p>
    <w:p>
      <w:pPr>
        <w:ind w:left="300" w:hanging="292"/>
        <w:spacing w:after="0"/>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Playtika Holding Corp.;</w:t>
      </w:r>
    </w:p>
    <w:p>
      <w:pPr>
        <w:spacing w:after="0" w:line="248"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31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hanging="652"/>
        <w:spacing w:after="0" w:line="298" w:lineRule="auto"/>
        <w:tabs>
          <w:tab w:leader="none" w:pos="32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have:</w:t>
      </w:r>
    </w:p>
    <w:p>
      <w:pPr>
        <w:spacing w:after="0" w:line="243" w:lineRule="exact"/>
        <w:rPr>
          <w:rFonts w:ascii="Times New Roman" w:cs="Times New Roman" w:eastAsia="Times New Roman" w:hAnsi="Times New Roman"/>
          <w:sz w:val="16"/>
          <w:szCs w:val="16"/>
          <w:color w:val="auto"/>
        </w:rPr>
      </w:pPr>
    </w:p>
    <w:p>
      <w:pPr>
        <w:ind w:left="1300" w:hanging="644"/>
        <w:spacing w:after="0" w:line="263" w:lineRule="auto"/>
        <w:tabs>
          <w:tab w:leader="none" w:pos="1002"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6"/>
          <w:szCs w:val="16"/>
          <w:color w:val="auto"/>
        </w:rPr>
      </w:pPr>
    </w:p>
    <w:p>
      <w:pPr>
        <w:ind w:left="1300" w:hanging="644"/>
        <w:spacing w:after="0" w:line="280" w:lineRule="auto"/>
        <w:tabs>
          <w:tab w:leader="none" w:pos="994"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hanging="644"/>
        <w:spacing w:after="0" w:line="263" w:lineRule="auto"/>
        <w:tabs>
          <w:tab w:leader="none" w:pos="97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hanging="652"/>
        <w:spacing w:after="0" w:line="280" w:lineRule="auto"/>
        <w:tabs>
          <w:tab w:leader="none" w:pos="36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20" w:hanging="644"/>
        <w:spacing w:after="0" w:line="280" w:lineRule="auto"/>
        <w:tabs>
          <w:tab w:leader="none" w:pos="1015"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20" w:hanging="644"/>
        <w:spacing w:after="0" w:line="298" w:lineRule="auto"/>
        <w:tabs>
          <w:tab w:leader="none" w:pos="959"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8"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6"/>
          <w:szCs w:val="16"/>
          <w:color w:val="auto"/>
        </w:rPr>
        <w:t>February 28, 2023</w:t>
      </w:r>
      <w:r>
        <w:rPr>
          <w:sz w:val="20"/>
          <w:szCs w:val="20"/>
          <w:color w:val="auto"/>
        </w:rPr>
        <w:tab/>
      </w:r>
      <w:r>
        <w:rPr>
          <w:rFonts w:ascii="Times New Roman" w:cs="Times New Roman" w:eastAsia="Times New Roman" w:hAnsi="Times New Roman"/>
          <w:sz w:val="16"/>
          <w:szCs w:val="16"/>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20320</wp:posOffset>
            </wp:positionV>
            <wp:extent cx="38404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Craig Abrahams</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1420"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89" w:lineRule="exact"/>
        <w:rPr>
          <w:sz w:val="20"/>
          <w:szCs w:val="20"/>
          <w:color w:val="auto"/>
        </w:rPr>
      </w:pPr>
    </w:p>
    <w:p>
      <w:pPr>
        <w:ind w:left="660" w:hanging="652"/>
        <w:spacing w:after="0" w:line="282" w:lineRule="auto"/>
        <w:tabs>
          <w:tab w:leader="none" w:pos="3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2022 (the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c>
          <w:tcPr>
            <w:tcW w:w="81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Robert Antokol</w:t>
            </w:r>
          </w:p>
        </w:tc>
      </w:tr>
      <w:tr>
        <w:trPr>
          <w:trHeight w:val="218"/>
        </w:trPr>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r>
      <w:tr>
        <w:trPr>
          <w:trHeight w:val="229"/>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Chairperson of the Board</w:t>
            </w:r>
          </w:p>
        </w:tc>
      </w:tr>
      <w:tr>
        <w:trPr>
          <w:trHeight w:val="234"/>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41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89" w:lineRule="exact"/>
        <w:rPr>
          <w:sz w:val="20"/>
          <w:szCs w:val="20"/>
          <w:color w:val="auto"/>
        </w:rPr>
      </w:pPr>
    </w:p>
    <w:p>
      <w:pPr>
        <w:ind w:left="660" w:hanging="652"/>
        <w:spacing w:after="0" w:line="282" w:lineRule="auto"/>
        <w:tabs>
          <w:tab w:leader="none" w:pos="32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2022 (the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2023</w:t>
            </w:r>
          </w:p>
        </w:tc>
        <w:tc>
          <w:tcPr>
            <w:tcW w:w="81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Craig Abrahams</w:t>
            </w:r>
          </w:p>
        </w:tc>
      </w:tr>
      <w:tr>
        <w:trPr>
          <w:trHeight w:val="218"/>
        </w:trPr>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r>
      <w:tr>
        <w:trPr>
          <w:trHeight w:val="229"/>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Roman"/>
      <w:start w:val="3"/>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lowerRoman"/>
      <w:start w:val="3"/>
    </w:lvl>
  </w:abstractNum>
  <w:abstractNum w:abstractNumId="33">
    <w:nsid w:val="580BD78F"/>
    <w:multiLevelType w:val="hybridMultilevel"/>
    <w:lvl w:ilvl="0">
      <w:lvlJc w:val="left"/>
      <w:lvlText w:val="(%1)"/>
      <w:numFmt w:val="lowerRoman"/>
      <w:start w:val="5"/>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endash "/>
      <w:numFmt w:val="bullet"/>
      <w:start w:val="1"/>
    </w:lvl>
  </w:abstractNum>
  <w:abstractNum w:abstractNumId="36">
    <w:nsid w:val="70A64E2A"/>
    <w:multiLevelType w:val="hybridMultilevel"/>
    <w:lvl w:ilvl="0">
      <w:lvlJc w:val="left"/>
      <w:lvlText w:val="\endash "/>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2"/>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9" Type="http://schemas.openxmlformats.org/officeDocument/2006/relationships/image" Target="media/image159.png"/><Relationship Id="rId171" Type="http://schemas.openxmlformats.org/officeDocument/2006/relationships/image" Target="media/image160.png"/><Relationship Id="rId175" Type="http://schemas.openxmlformats.org/officeDocument/2006/relationships/image" Target="media/image161.png"/><Relationship Id="rId178" Type="http://schemas.openxmlformats.org/officeDocument/2006/relationships/image" Target="media/image162.png"/><Relationship Id="rId181" Type="http://schemas.openxmlformats.org/officeDocument/2006/relationships/image" Target="media/image163.png"/><Relationship Id="rId184" Type="http://schemas.openxmlformats.org/officeDocument/2006/relationships/image" Target="media/image164.png"/><Relationship Id="rId187" Type="http://schemas.openxmlformats.org/officeDocument/2006/relationships/image" Target="media/image165.png"/><Relationship Id="rId190" Type="http://schemas.openxmlformats.org/officeDocument/2006/relationships/image" Target="media/image166.png"/><Relationship Id="rId193" Type="http://schemas.openxmlformats.org/officeDocument/2006/relationships/image" Target="media/image167.png"/><Relationship Id="rId196" Type="http://schemas.openxmlformats.org/officeDocument/2006/relationships/image" Target="media/image168.png"/><Relationship Id="rId199" Type="http://schemas.openxmlformats.org/officeDocument/2006/relationships/image" Target="media/image169.png"/><Relationship Id="rId201"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166" Type="http://schemas.openxmlformats.org/officeDocument/2006/relationships/hyperlink" Target="https://www.sec.gov/Archives/edgar/data/1828016/000119312521012535/d248640dex31.htm" TargetMode="External"/><Relationship Id="rId167" Type="http://schemas.openxmlformats.org/officeDocument/2006/relationships/hyperlink" Target="https://www.sec.gov/Archives/edgar/data/1828016/000119312521012535/d248640dex32.htm" TargetMode="External"/><Relationship Id="rId168" Type="http://schemas.openxmlformats.org/officeDocument/2006/relationships/hyperlink" Target="https://www.sec.gov/Archives/edgar/data/1828016/000119312520321440/d55817dex41.htm" TargetMode="External"/><Relationship Id="rId170" Type="http://schemas.openxmlformats.org/officeDocument/2006/relationships/hyperlink" Target="https://www.sec.gov/Archives/edgar/data/1828016/000119312520321440/d55817dex42.htm" TargetMode="External"/><Relationship Id="rId172" Type="http://schemas.openxmlformats.org/officeDocument/2006/relationships/hyperlink" Target="https://www.sec.gov/Archives/edgar/data/1828016/000119312521012535/d248640dex41.htm" TargetMode="External"/><Relationship Id="rId173" Type="http://schemas.openxmlformats.org/officeDocument/2006/relationships/hyperlink" Target="https://www.sec.gov/Archives/edgar/data/1828016/000182801621000014/a2020q4exhibit44.htm" TargetMode="External"/><Relationship Id="rId174" Type="http://schemas.openxmlformats.org/officeDocument/2006/relationships/hyperlink" Target="https://www.sec.gov/Archives/edgar/data/1828016/000182801621000046/exhibit41-playtikafirstsup.htm" TargetMode="External"/><Relationship Id="rId176" Type="http://schemas.openxmlformats.org/officeDocument/2006/relationships/hyperlink" Target="https://www.sec.gov/Archives/edgar/data/1828016/000119312522191356/d368765dex41.htm" TargetMode="External"/><Relationship Id="rId177" Type="http://schemas.openxmlformats.org/officeDocument/2006/relationships/hyperlink" Target="https://www.sec.gov/Archives/edgar/data/1828016/000119312520321440/d55817dex101.htm" TargetMode="External"/><Relationship Id="rId179" Type="http://schemas.openxmlformats.org/officeDocument/2006/relationships/hyperlink" Target="https://www.sec.gov/Archives/edgar/data/1828016/000119312520321440/d55817dex109.htm" TargetMode="External"/><Relationship Id="rId180" Type="http://schemas.openxmlformats.org/officeDocument/2006/relationships/hyperlink" Target="https://www.sec.gov/Archives/edgar/data/1828016/000119312520321440/d55817dex1010.htm" TargetMode="External"/><Relationship Id="rId182" Type="http://schemas.openxmlformats.org/officeDocument/2006/relationships/hyperlink" Target="https://www.sec.gov/Archives/edgar/data/1828016/000119312520321440/d55817dex1011.htm" TargetMode="External"/><Relationship Id="rId183" Type="http://schemas.openxmlformats.org/officeDocument/2006/relationships/hyperlink" Target="https://www.sec.gov/Archives/edgar/data/1828016/000119312520321440/d55817dex1012.htm" TargetMode="External"/><Relationship Id="rId185" Type="http://schemas.openxmlformats.org/officeDocument/2006/relationships/hyperlink" Target="https://www.sec.gov/Archives/edgar/data/1828016/000119312520321440/d55817dex1013.htm" TargetMode="External"/><Relationship Id="rId186" Type="http://schemas.openxmlformats.org/officeDocument/2006/relationships/hyperlink" Target="https://www.sec.gov/Archives/edgar/data/1828016/000119312520321440/d55817dex1014.htm" TargetMode="External"/><Relationship Id="rId188" Type="http://schemas.openxmlformats.org/officeDocument/2006/relationships/hyperlink" Target="https://www.sec.gov/Archives/edgar/data/1828016/000119312520321440/d55817dex1015.htm" TargetMode="External"/><Relationship Id="rId189" Type="http://schemas.openxmlformats.org/officeDocument/2006/relationships/hyperlink" Target="https://www.sec.gov/Archives/edgar/data/1828016/000119312520321440/d55817dex1016.htm" TargetMode="External"/><Relationship Id="rId191" Type="http://schemas.openxmlformats.org/officeDocument/2006/relationships/hyperlink" Target="https://www.sec.gov/Archives/edgar/data/1828016/000119312520321440/d55817dex1017.htm" TargetMode="External"/><Relationship Id="rId192" Type="http://schemas.openxmlformats.org/officeDocument/2006/relationships/hyperlink" Target="https://www.sec.gov/Archives/edgar/data/1828016/000119312520321440/d55817dex1018.htm" TargetMode="External"/><Relationship Id="rId194" Type="http://schemas.openxmlformats.org/officeDocument/2006/relationships/hyperlink" Target="https://www.sec.gov/Archives/edgar/data/1828016/000119312520321440/d55817dex1019.htm" TargetMode="External"/><Relationship Id="rId195" Type="http://schemas.openxmlformats.org/officeDocument/2006/relationships/hyperlink" Target="https://www.sec.gov/Archives/edgar/data/1828016/000119312520321440/d55817dex1020.htm" TargetMode="External"/><Relationship Id="rId197" Type="http://schemas.openxmlformats.org/officeDocument/2006/relationships/hyperlink" Target="https://www.sec.gov/Archives/edgar/data/1828016/000119312520321440/d55817dex1021.htm" TargetMode="External"/><Relationship Id="rId198" Type="http://schemas.openxmlformats.org/officeDocument/2006/relationships/hyperlink" Target="https://www.sec.gov/Archives/edgar/data/1828016/000119312520321440/d55817dex1022.htm" TargetMode="External"/><Relationship Id="rId200" Type="http://schemas.openxmlformats.org/officeDocument/2006/relationships/hyperlink" Target="https://www.sec.gov/Archives/edgar/data/1828016/000119312521003653/d55817dex1023.htm" TargetMode="External"/><Relationship Id="rId202" Type="http://schemas.openxmlformats.org/officeDocument/2006/relationships/hyperlink" Target="https://www.sec.gov/Archives/edgar/data/1828016/000119312520321440/d55817dex1024.htm" TargetMode="External"/><Relationship Id="rId203" Type="http://schemas.openxmlformats.org/officeDocument/2006/relationships/hyperlink" Target="https://www.sec.gov/Archives/edgar/data/1828016/000119312520321440/d55817dex1025.htm" TargetMode="External"/><Relationship Id="rId204" Type="http://schemas.openxmlformats.org/officeDocument/2006/relationships/hyperlink" Target="https://www.sec.gov/Archives/edgar/data/1828016/000119312521003653/d55817dex1026.htm" TargetMode="External"/><Relationship Id="rId205" Type="http://schemas.openxmlformats.org/officeDocument/2006/relationships/hyperlink" Target="https://www.sec.gov/Archives/edgar/data/1828016/000119312521012535/d248640dex101.htm" TargetMode="External"/><Relationship Id="rId206" Type="http://schemas.openxmlformats.org/officeDocument/2006/relationships/hyperlink" Target="https://www.sec.gov/Archives/edgar/data/1828016/000119312520321440/d55817dex1027.htm" TargetMode="External"/><Relationship Id="rId207" Type="http://schemas.openxmlformats.org/officeDocument/2006/relationships/hyperlink" Target="https://www.sec.gov/Archives/edgar/data/1828016/000119312520321440/d55817dex1029.htm" TargetMode="External"/><Relationship Id="rId208" Type="http://schemas.openxmlformats.org/officeDocument/2006/relationships/hyperlink" Target="https://www.sec.gov/Archives/edgar/data/1828016/000119312520321440/d55817dex1030.htm" TargetMode="External"/><Relationship Id="rId209" Type="http://schemas.openxmlformats.org/officeDocument/2006/relationships/hyperlink" Target="https://www.sec.gov/Archives/edgar/data/1828016/000119312520321440/d55817dex1031.htm" TargetMode="External"/><Relationship Id="rId210" Type="http://schemas.openxmlformats.org/officeDocument/2006/relationships/hyperlink" Target="https://www.sec.gov/Archives/edgar/data/1828016/000119312520321440/d55817dex1032.htm" TargetMode="External"/><Relationship Id="rId211" Type="http://schemas.openxmlformats.org/officeDocument/2006/relationships/hyperlink" Target="https://www.sec.gov/Archives/edgar/data/1828016/000119312520321440/d55817dex10321.htm" TargetMode="External"/><Relationship Id="rId212" Type="http://schemas.openxmlformats.org/officeDocument/2006/relationships/hyperlink" Target="https://www.sec.gov/Archives/edgar/data/1828016/000182801621000046/exhibit101.htm" TargetMode="External"/><Relationship Id="rId213" Type="http://schemas.openxmlformats.org/officeDocument/2006/relationships/hyperlink" Target="https://www.sec.gov/Archives/edgar/data/1828016/000182801622000009/ex101.htm" TargetMode="External"/><Relationship Id="rId214" Type="http://schemas.openxmlformats.org/officeDocument/2006/relationships/hyperlink" Target="https://www.sec.gov/Archives/edgar/data/1828016/000182801622000009/ex102.htm" TargetMode="External"/><Relationship Id="rId215" Type="http://schemas.openxmlformats.org/officeDocument/2006/relationships/hyperlink" Target="https://www.sec.gov/Archives/edgar/data/1828016/000182801622000016/rappsemploymentagreement.htm" TargetMode="External"/><Relationship Id="rId216" Type="http://schemas.openxmlformats.org/officeDocument/2006/relationships/hyperlink" Target="https://www.sec.gov/Archives/edgar/data/1828016/000119312522283863/d42035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2023-02-28T08:23:53Z</dcterms:created>
  <dcterms:modified xsi:type="dcterms:W3CDTF">2023-02-28T08:23:53Z</dcterms:modified>
</cp:coreProperties>
</file>