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291"/>
        <w:gridCol w:w="257"/>
        <w:gridCol w:w="258"/>
        <w:gridCol w:w="2752"/>
        <w:gridCol w:w="2752"/>
        <w:gridCol w:w="3895"/>
      </w:tblGrid>
      <w:tr>
        <w:trPr/>
        <w:tc>
          <w:tcPr>
            <w:tcW w:w="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(Mark One)</w:t>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 to _____</w:t>
      </w:r>
    </w:p>
    <w:p>
      <w:pPr>
        <w:pStyle w:val="TextBody"/>
        <w:bidi w:val="0"/>
        <w:spacing w:before="0" w:after="0"/>
        <w:jc w:val="both"/>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 File Number: 001-39896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PLAYTIKA HOLDING CORP.</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4375" w:type="dxa"/>
        <w:jc w:val="center"/>
        <w:tblInd w:w="0" w:type="dxa"/>
        <w:tblLayout w:type="fixed"/>
        <w:tblCellMar>
          <w:top w:w="28" w:type="dxa"/>
          <w:left w:w="28" w:type="dxa"/>
          <w:bottom w:w="28" w:type="dxa"/>
          <w:right w:w="28" w:type="dxa"/>
        </w:tblCellMar>
      </w:tblPr>
      <w:tblGrid>
        <w:gridCol w:w="927"/>
        <w:gridCol w:w="813"/>
        <w:gridCol w:w="824"/>
        <w:gridCol w:w="109"/>
        <w:gridCol w:w="109"/>
        <w:gridCol w:w="109"/>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81-3634591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1890" w:type="dxa"/>
        <w:jc w:val="center"/>
        <w:tblInd w:w="0" w:type="dxa"/>
        <w:tblLayout w:type="fixed"/>
        <w:tblCellMar>
          <w:top w:w="28" w:type="dxa"/>
          <w:left w:w="28" w:type="dxa"/>
          <w:bottom w:w="28" w:type="dxa"/>
          <w:right w:w="28" w:type="dxa"/>
        </w:tblCellMar>
      </w:tblPr>
      <w:tblGrid>
        <w:gridCol w:w="605"/>
        <w:gridCol w:w="530"/>
        <w:gridCol w:w="755"/>
      </w:tblGrid>
      <w:tr>
        <w:trPr/>
        <w:tc>
          <w:tcPr>
            <w:tcW w:w="60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 Playtika Ltd.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HaChoshlim St 8</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Herzliya Pituach, Israel</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972-73-316-3251</w:t>
            </w:r>
          </w:p>
        </w:tc>
      </w:tr>
    </w:tbl>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52" w:type="dxa"/>
        <w:jc w:val="center"/>
        <w:tblInd w:w="0" w:type="dxa"/>
        <w:tblLayout w:type="fixed"/>
        <w:tblCellMar>
          <w:top w:w="28" w:type="dxa"/>
          <w:left w:w="28" w:type="dxa"/>
          <w:bottom w:w="28" w:type="dxa"/>
          <w:right w:w="28" w:type="dxa"/>
        </w:tblCellMar>
      </w:tblPr>
      <w:tblGrid>
        <w:gridCol w:w="862"/>
        <w:gridCol w:w="756"/>
        <w:gridCol w:w="766"/>
        <w:gridCol w:w="484"/>
        <w:gridCol w:w="484"/>
        <w:gridCol w:w="486"/>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38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45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PLTK</w:t>
            </w:r>
          </w:p>
        </w:tc>
        <w:tc>
          <w:tcPr>
            <w:tcW w:w="33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lineRule="auto" w:line="276" w:before="0" w:after="0"/>
        <w:ind w:left="0" w:right="0" w:firstLine="644"/>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644"/>
        <w:jc w:val="both"/>
        <w:rPr/>
      </w:pPr>
      <w:r>
        <w:rPr/>
      </w:r>
    </w:p>
    <w:p>
      <w:pPr>
        <w:pStyle w:val="TextBody"/>
        <w:bidi w:val="0"/>
        <w:spacing w:lineRule="auto" w:line="276" w:before="0" w:after="0"/>
        <w:ind w:left="0" w:right="0" w:firstLine="644"/>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44"/>
        <w:jc w:val="both"/>
        <w:rPr/>
      </w:pPr>
      <w:r>
        <w:rPr/>
      </w:r>
    </w:p>
    <w:p>
      <w:pPr>
        <w:pStyle w:val="TextBody"/>
        <w:bidi w:val="0"/>
        <w:spacing w:lineRule="auto" w:line="276" w:before="0" w:after="0"/>
        <w:ind w:left="0" w:right="0" w:firstLine="644"/>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644"/>
        <w:jc w:val="both"/>
        <w:rPr/>
      </w:pPr>
      <w:r>
        <w:rPr/>
      </w:r>
    </w:p>
    <w:p>
      <w:pPr>
        <w:pStyle w:val="TextBody"/>
        <w:bidi w:val="0"/>
        <w:spacing w:lineRule="auto" w:line="276" w:before="0" w:after="0"/>
        <w:ind w:left="0" w:right="0" w:firstLine="644"/>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before="0" w:after="0"/>
        <w:ind w:left="0" w:right="0" w:firstLine="644"/>
        <w:jc w:val="both"/>
        <w:rPr/>
      </w:pPr>
      <w:r>
        <w:rPr/>
      </w:r>
    </w:p>
    <w:p>
      <w:pPr>
        <w:pStyle w:val="TextBody"/>
        <w:bidi w:val="0"/>
        <w:spacing w:lineRule="auto" w:line="276" w:before="0" w:after="0"/>
        <w:ind w:left="0" w:right="0" w:firstLine="644"/>
        <w:jc w:val="both"/>
        <w:rPr>
          <w:rFonts w:ascii="Times New Roman;serif" w:hAnsi="Times New Roman;serif"/>
          <w:b w:val="false"/>
          <w:color w:val="000000"/>
          <w:sz w:val="18"/>
        </w:rPr>
      </w:pPr>
      <w:r>
        <w:rPr>
          <w:rFonts w:ascii="Times New Roman;serif" w:hAnsi="Times New Roman;serif"/>
          <w:b w:val="false"/>
          <w:color w:val="000000"/>
          <w:sz w:val="18"/>
        </w:rPr>
        <w:t>As of August 3, 2026 the registrant had 381,418,186 shares of common stock, $0.01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7" w:before="0" w:after="0"/>
        <w:jc w:val="center"/>
        <w:rPr>
          <w:rFonts w:ascii="Times New Roman;serif" w:hAnsi="Times New Roman;serif"/>
          <w:b/>
          <w:color w:val="000000"/>
          <w:sz w:val="22"/>
        </w:rPr>
      </w:pPr>
      <w:r>
        <w:rPr>
          <w:rFonts w:ascii="Times New Roman;serif" w:hAnsi="Times New Roman;serif"/>
          <w:b/>
          <w:color w:val="000000"/>
          <w:sz w:val="22"/>
        </w:rPr>
        <w:t>PLAYTIKA HOLDING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INDEX</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94"/>
        <w:gridCol w:w="433"/>
        <w:gridCol w:w="439"/>
        <w:gridCol w:w="2737"/>
        <w:gridCol w:w="2732"/>
        <w:gridCol w:w="2738"/>
        <w:gridCol w:w="184"/>
        <w:gridCol w:w="184"/>
        <w:gridCol w:w="26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3">
              <w:r>
                <w:rPr>
                  <w:rStyle w:val="InternetLink"/>
                  <w:rFonts w:ascii="Times New Roman;serif" w:hAnsi="Times New Roman;serif"/>
                  <w:b/>
                  <w:color w:val="0000FF"/>
                  <w:sz w:val="20"/>
                  <w:u w:val="single"/>
                </w:rPr>
                <w:t>FINANCIAL INFORMATION</w:t>
              </w:r>
            </w:hyperlink>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13">
              <w:r>
                <w:rPr>
                  <w:rStyle w:val="InternetLink"/>
                  <w:rFonts w:ascii="Times New Roman;serif" w:hAnsi="Times New Roman;serif"/>
                  <w:b w:val="false"/>
                  <w:color w:val="0000FF"/>
                  <w:sz w:val="20"/>
                  <w:u w:val="single"/>
                </w:rPr>
                <w:t>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6">
              <w:r>
                <w:rPr>
                  <w:rStyle w:val="InternetLink"/>
                  <w:rFonts w:ascii="Times New Roman;serif" w:hAnsi="Times New Roman;serif"/>
                  <w:b w:val="false"/>
                  <w:color w:val="0000FF"/>
                  <w:sz w:val="20"/>
                  <w:u w:val="single"/>
                </w:rPr>
                <w:t>FINANCIAL STATEMENTS (Unaudited)</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4c377aea74d6b9a06719ab56c75a7_16">
              <w:r>
                <w:rPr>
                  <w:rStyle w:val="InternetLink"/>
                  <w:rFonts w:ascii="Times New Roman;serif" w:hAnsi="Times New Roman;serif"/>
                  <w:b w:val="false"/>
                  <w:color w:val="0000FF"/>
                  <w:sz w:val="20"/>
                  <w:u w:val="single"/>
                </w:rPr>
                <w:t>1</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9">
              <w:r>
                <w:rPr>
                  <w:rStyle w:val="InternetLink"/>
                  <w:rFonts w:ascii="Times New Roman;serif" w:hAnsi="Times New Roman;serif"/>
                  <w:b w:val="false"/>
                  <w:color w:val="0000FF"/>
                  <w:sz w:val="20"/>
                  <w:u w:val="single"/>
                </w:rPr>
                <w:t>Consolidated Balance Sheets as of June 30, 2026 and December 31, 2025</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4c377aea74d6b9a06719ab56c75a7_19">
              <w:r>
                <w:rPr>
                  <w:rStyle w:val="InternetLink"/>
                  <w:rFonts w:ascii="Times New Roman;serif" w:hAnsi="Times New Roman;serif"/>
                  <w:b w:val="false"/>
                  <w:color w:val="0000FF"/>
                  <w:sz w:val="20"/>
                  <w:u w:val="single"/>
                </w:rPr>
                <w:t>1</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1f4c377aea74d6b9a06719ab56c75a7_22">
              <w:r>
                <w:rPr>
                  <w:rStyle w:val="InternetLink"/>
                  <w:rFonts w:ascii="Times New Roman;serif" w:hAnsi="Times New Roman;serif"/>
                  <w:b w:val="false"/>
                  <w:color w:val="0000FF"/>
                  <w:sz w:val="20"/>
                  <w:u w:val="single"/>
                </w:rPr>
                <w:t>Consolidated Statements of Comprehensive Income for the three and six months ended June 30, 2026 and 2025</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4c377aea74d6b9a06719ab56c75a7_22">
              <w:r>
                <w:rPr>
                  <w:rStyle w:val="InternetLink"/>
                  <w:rFonts w:ascii="Times New Roman;serif" w:hAnsi="Times New Roman;serif"/>
                  <w:b w:val="false"/>
                  <w:color w:val="0000FF"/>
                  <w:sz w:val="20"/>
                  <w:u w:val="single"/>
                </w:rPr>
                <w:t>2</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1f4c377aea74d6b9a06719ab56c75a7_25">
              <w:r>
                <w:rPr>
                  <w:rStyle w:val="InternetLink"/>
                  <w:rFonts w:ascii="Times New Roman;serif" w:hAnsi="Times New Roman;serif"/>
                  <w:b w:val="false"/>
                  <w:color w:val="0000FF"/>
                  <w:sz w:val="20"/>
                  <w:u w:val="single"/>
                </w:rPr>
                <w:t>Consolidated Statements of Stockholders’ Deficit for the three and six months ended June 30, 2026 and 2025</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4c377aea74d6b9a06719ab56c75a7_25">
              <w:r>
                <w:rPr>
                  <w:rStyle w:val="InternetLink"/>
                  <w:rFonts w:ascii="Times New Roman;serif" w:hAnsi="Times New Roman;serif"/>
                  <w:b w:val="false"/>
                  <w:color w:val="0000FF"/>
                  <w:sz w:val="20"/>
                  <w:u w:val="single"/>
                </w:rPr>
                <w:t>3</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1f4c377aea74d6b9a06719ab56c75a7_28">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4c377aea74d6b9a06719ab56c75a7_28">
              <w:r>
                <w:rPr>
                  <w:rStyle w:val="InternetLink"/>
                  <w:rFonts w:ascii="Times New Roman;serif" w:hAnsi="Times New Roman;serif"/>
                  <w:b w:val="false"/>
                  <w:color w:val="0000FF"/>
                  <w:sz w:val="20"/>
                  <w:u w:val="singl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31">
              <w:r>
                <w:rPr>
                  <w:rStyle w:val="InternetLink"/>
                  <w:rFonts w:ascii="Times New Roman;serif" w:hAnsi="Times New Roman;serif"/>
                  <w:b w:val="false"/>
                  <w:color w:val="0000FF"/>
                  <w:sz w:val="20"/>
                  <w:u w:val="single"/>
                </w:rPr>
                <w:t>Notes to the Consolidated Financial Statements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31">
              <w:r>
                <w:rPr>
                  <w:rStyle w:val="InternetLink"/>
                  <w:rFonts w:ascii="Times New Roman;serif" w:hAnsi="Times New Roman;serif"/>
                  <w:b w:val="false"/>
                  <w:color w:val="0000FF"/>
                  <w:sz w:val="20"/>
                  <w:u w:val="single"/>
                </w:rPr>
                <w:t>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1f4c377aea74d6b9a06719ab56c75a7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79">
              <w:r>
                <w:rPr>
                  <w:rStyle w:val="InternetLink"/>
                  <w:rFonts w:ascii="Times New Roman;serif" w:hAnsi="Times New Roman;serif"/>
                  <w:b w:val="false"/>
                  <w:color w:val="0000FF"/>
                  <w:sz w:val="20"/>
                  <w:u w:val="single"/>
                </w:rPr>
                <w:t>27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00">
              <w:r>
                <w:rPr>
                  <w:rStyle w:val="InternetLink"/>
                  <w:rFonts w:ascii="Times New Roman;serif" w:hAnsi="Times New Roman;serif"/>
                  <w:b w:val="false"/>
                  <w:color w:val="0000FF"/>
                  <w:sz w:val="20"/>
                  <w:u w:val="single"/>
                </w:rPr>
                <w:t>QUANTITATIVE AND QUALITATIVE DISCLOSURES ABOUT MARKET RISK</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100">
              <w:r>
                <w:rPr>
                  <w:rStyle w:val="InternetLink"/>
                  <w:rFonts w:ascii="Times New Roman;serif" w:hAnsi="Times New Roman;serif"/>
                  <w:b w:val="false"/>
                  <w:color w:val="0000FF"/>
                  <w:sz w:val="20"/>
                  <w:u w:val="single"/>
                </w:rPr>
                <w:t>35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03">
              <w:r>
                <w:rPr>
                  <w:rStyle w:val="InternetLink"/>
                  <w:rFonts w:ascii="Times New Roman;serif" w:hAnsi="Times New Roman;serif"/>
                  <w:b w:val="false"/>
                  <w:color w:val="0000FF"/>
                  <w:sz w:val="20"/>
                  <w:u w:val="single"/>
                </w:rPr>
                <w:t>CONTROLS AND PROCEDURES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4c377aea74d6b9a06719ab56c75a7_103">
              <w:r>
                <w:rPr>
                  <w:rStyle w:val="InternetLink"/>
                  <w:rFonts w:ascii="Times New Roman;serif" w:hAnsi="Times New Roman;serif"/>
                  <w:b w:val="false"/>
                  <w:color w:val="0000FF"/>
                  <w:sz w:val="20"/>
                  <w:u w:val="single"/>
                </w:rPr>
                <w:t>36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06">
              <w:r>
                <w:rPr>
                  <w:rStyle w:val="InternetLink"/>
                  <w:rFonts w:ascii="Times New Roman;serif" w:hAnsi="Times New Roman;serif"/>
                  <w:b/>
                  <w:color w:val="0000FF"/>
                  <w:sz w:val="20"/>
                  <w:u w:val="single"/>
                </w:rPr>
                <w:t>OTHER INFORMATION</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106">
              <w:r>
                <w:rPr>
                  <w:rStyle w:val="InternetLink"/>
                  <w:rFonts w:ascii="Times New Roman;serif" w:hAnsi="Times New Roman;serif"/>
                  <w:b w:val="false"/>
                  <w:color w:val="0000FF"/>
                  <w:sz w:val="20"/>
                  <w:u w:val="single"/>
                </w:rPr>
                <w:t>38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09">
              <w:r>
                <w:rPr>
                  <w:rStyle w:val="InternetLink"/>
                  <w:rFonts w:ascii="Times New Roman;serif" w:hAnsi="Times New Roman;serif"/>
                  <w:b w:val="false"/>
                  <w:color w:val="0000FF"/>
                  <w:sz w:val="20"/>
                  <w:u w:val="single"/>
                </w:rPr>
                <w:t>LEGAL PROCEEDINGS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109">
              <w:r>
                <w:rPr>
                  <w:rStyle w:val="InternetLink"/>
                  <w:rFonts w:ascii="Times New Roman;serif" w:hAnsi="Times New Roman;serif"/>
                  <w:b w:val="false"/>
                  <w:color w:val="0000FF"/>
                  <w:sz w:val="20"/>
                  <w:u w:val="single"/>
                </w:rPr>
                <w:t>38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12">
              <w:r>
                <w:rPr>
                  <w:rStyle w:val="InternetLink"/>
                  <w:rFonts w:ascii="Times New Roman;serif" w:hAnsi="Times New Roman;serif"/>
                  <w:b w:val="false"/>
                  <w:color w:val="0000FF"/>
                  <w:sz w:val="20"/>
                  <w:u w:val="single"/>
                </w:rPr>
                <w:t>RISK FACTORS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112">
              <w:r>
                <w:rPr>
                  <w:rStyle w:val="InternetLink"/>
                  <w:rFonts w:ascii="Times New Roman;serif" w:hAnsi="Times New Roman;serif"/>
                  <w:b w:val="false"/>
                  <w:color w:val="0000FF"/>
                  <w:sz w:val="20"/>
                  <w:u w:val="single"/>
                </w:rPr>
                <w:t>38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15">
              <w:r>
                <w:rPr>
                  <w:rStyle w:val="InternetLink"/>
                  <w:rFonts w:ascii="Times New Roman;serif" w:hAnsi="Times New Roman;serif"/>
                  <w:b w:val="false"/>
                  <w:color w:val="0000FF"/>
                  <w:sz w:val="20"/>
                  <w:u w:val="single"/>
                </w:rPr>
                <w:t>UNREGISTERED SALES OF EQUITY SECURITIES AND USE OF PROCEEDS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115">
              <w:r>
                <w:rPr>
                  <w:rStyle w:val="InternetLink"/>
                  <w:rFonts w:ascii="Times New Roman;serif" w:hAnsi="Times New Roman;serif"/>
                  <w:b w:val="false"/>
                  <w:color w:val="0000FF"/>
                  <w:sz w:val="20"/>
                  <w:u w:val="single"/>
                </w:rPr>
                <w:t>38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18">
              <w:r>
                <w:rPr>
                  <w:rStyle w:val="InternetLink"/>
                  <w:rFonts w:ascii="Times New Roman;serif" w:hAnsi="Times New Roman;serif"/>
                  <w:b w:val="false"/>
                  <w:color w:val="0000FF"/>
                  <w:sz w:val="20"/>
                  <w:u w:val="single"/>
                </w:rPr>
                <w:t>DEFAULTS UPON SENIOR SECURITIES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118">
              <w:r>
                <w:rPr>
                  <w:rStyle w:val="InternetLink"/>
                  <w:rFonts w:ascii="Times New Roman;serif" w:hAnsi="Times New Roman;serif"/>
                  <w:b w:val="false"/>
                  <w:color w:val="0000FF"/>
                  <w:sz w:val="20"/>
                  <w:u w:val="single"/>
                </w:rPr>
                <w:t>38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21">
              <w:r>
                <w:rPr>
                  <w:rStyle w:val="InternetLink"/>
                  <w:rFonts w:ascii="Times New Roman;serif" w:hAnsi="Times New Roman;serif"/>
                  <w:b w:val="false"/>
                  <w:color w:val="0000FF"/>
                  <w:sz w:val="20"/>
                  <w:u w:val="single"/>
                </w:rPr>
                <w:t>MINE SAFETY DISCLOSURES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121">
              <w:r>
                <w:rPr>
                  <w:rStyle w:val="InternetLink"/>
                  <w:rFonts w:ascii="Times New Roman;serif" w:hAnsi="Times New Roman;serif"/>
                  <w:b w:val="false"/>
                  <w:color w:val="0000FF"/>
                  <w:sz w:val="20"/>
                  <w:u w:val="single"/>
                </w:rPr>
                <w:t>38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24">
              <w:r>
                <w:rPr>
                  <w:rStyle w:val="InternetLink"/>
                  <w:rFonts w:ascii="Times New Roman;serif" w:hAnsi="Times New Roman;serif"/>
                  <w:b w:val="false"/>
                  <w:color w:val="0000FF"/>
                  <w:sz w:val="20"/>
                  <w:u w:val="single"/>
                </w:rPr>
                <w:t>OTHER INFORMATION</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center"/>
              <w:rPr/>
            </w:pPr>
            <w:hyperlink w:anchor="ia1f4c377aea74d6b9a06719ab56c75a7_124">
              <w:r>
                <w:rPr>
                  <w:rStyle w:val="InternetLink"/>
                  <w:rFonts w:ascii="Times New Roman;serif" w:hAnsi="Times New Roman;serif"/>
                  <w:b w:val="false"/>
                  <w:color w:val="0000FF"/>
                  <w:sz w:val="20"/>
                  <w:u w:val="single"/>
                </w:rPr>
                <w:t>38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4c377aea74d6b9a06719ab56c75a7_127">
              <w:r>
                <w:rPr>
                  <w:rStyle w:val="InternetLink"/>
                  <w:rFonts w:ascii="Times New Roman;serif" w:hAnsi="Times New Roman;serif"/>
                  <w:b w:val="false"/>
                  <w:color w:val="0000FF"/>
                  <w:sz w:val="20"/>
                  <w:u w:val="single"/>
                </w:rPr>
                <w:t>EXHIBITS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4c377aea74d6b9a06719ab56c75a7_127">
              <w:r>
                <w:rPr>
                  <w:rStyle w:val="InternetLink"/>
                  <w:rFonts w:ascii="Times New Roman;serif" w:hAnsi="Times New Roman;serif"/>
                  <w:b w:val="false"/>
                  <w:color w:val="0000FF"/>
                  <w:sz w:val="20"/>
                  <w:u w:val="single"/>
                </w:rPr>
                <w:t>39</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SIGNATURES</w:t>
            </w:r>
          </w:p>
        </w:tc>
        <w:tc>
          <w:tcPr>
            <w:tcW w:w="8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ABOUT FORWARD 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or may contain forward-looking statements within the meaning of the Private Securities Litigation Reform Act of 1995 and Section 21E of the Exchange Act. All statements other than statements of historical facts contained in this quarterly report, including statements regarding our business strategy, plans and our objectives for future operations, are forward-looking statements. Further, statements that include words such as “anticipate,” “believe,” “continue,” “could,” “estimate,” “future,” “expect,” “intend,” “may,” “might,” “plan,” “potential,” “present,” “preserve,” “project,” “pursue,” “should,” “will,” or “would,” or the negative of these words or other words or expressions of similar meaning may identify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important factors discussed in Part II, Item 1A, “Risk Factors” in this Quarterly Report on Form 10-Q and our Annual Report on Form 10-K filed with the Securities and Exchange Commission (the “SEC”) on February 26, 2026.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discussed in this Quarterly Report on Form 10-Q, including the documents incorporated by reference, may not occur and actual results could differ materially and adversely from those anticipated, predicted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Important factors that could cause actual results to differ materially from estimates or projections contained in the forward-looking statements include without limitation:</w:t>
      </w:r>
    </w:p>
    <w:p>
      <w:pPr>
        <w:pStyle w:val="TextBody"/>
        <w:bidi w:val="0"/>
        <w:spacing w:before="0" w:after="0"/>
        <w:jc w:val="both"/>
        <w:rPr/>
      </w:pPr>
      <w:r>
        <w:rPr/>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actions of our majority shareholder or other third parties that influence us;</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our reliance on third-party platforms, such as the iOS App Store and Google Play Store, to distribute our games and collect revenues, and the risk that such platforms may adversely change their policies;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our reliance on a limited number of games to generate the majority of our revenue;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our reliance on a small percentage of total users to generate a majority of our revenue;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our free-to-play business model, and the value of virtual items sold in our games, is highly dependent on how we manage the game revenues and pricing models;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our inability to refinance our indebtedness, including, without limitation, our $550 million revolving credit facility which is set to expire in March 2027, or to obtain additional financing on favorable terms or at all;</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our inability to identify acquisition targets that fit our strategy or complete acquisitions and integrate any acquired businesses successfully or realize the anticipated benefits of such acquisitions could limit our growth, disrupt our plans and operations or impact the amount of capital allocated to mergers and acquisitions;</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our ability to compete in a highly competitive industry with low barriers to entry;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our ability to retain existing players, attract new players and increase the monetization of our player base;</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our ability to develop and/or launch new products and content or otherwise execute against our product roadmap strategy;</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we have significant indebtedness and are subject to the obligations and restrictive covenants under our debt instruments;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the impact of an economic recession or periods of increased inflation, and any reductions to household spending on the types of discretionary entertainment we offer;</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our controlled company status;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legal or regulatory restrictions or proceedings could adversely impact our business and limit the growth of our operations;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risks related to our international operations and ownership, including our significant operations in Israel and Ukraine and the fact that our controlling stockholder is a Chinese-owned company;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geopolitical events such as the Wars in Israel and Ukraine;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our reliance on key personnel;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market conditions or other factors affecting the payment of dividends, including the decision whether or not to pay a dividend;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uncertainties regarding the amount and timing of repurchases under our stock repurchase program;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 xml:space="preserve">security breaches or other disruptions could compromise our information or our players’ information and expose us to liability; and </w:t>
      </w:r>
    </w:p>
    <w:p>
      <w:pPr>
        <w:pStyle w:val="TextBody"/>
        <w:bidi w:val="0"/>
        <w:spacing w:lineRule="auto" w:line="288" w:before="0" w:after="0"/>
        <w:ind w:left="0" w:right="0" w:hanging="630"/>
        <w:jc w:val="both"/>
        <w:rPr/>
      </w:pPr>
      <w:r>
        <w:rPr>
          <w:color w:val="000000"/>
        </w:rPr>
        <w:t>•</w:t>
      </w:r>
      <w:r>
        <w:rPr>
          <w:rFonts w:ascii="Times New Roman;serif" w:hAnsi="Times New Roman;serif"/>
          <w:b w:val="false"/>
          <w:color w:val="000000"/>
          <w:sz w:val="20"/>
        </w:rPr>
        <w:t>our inability to protect our intellectual property and proprietary information could adversely impact our business.</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statements about the impact of the Wars in Israel and Ukraine are subject to the risks that hostilities may escalate and expand and that the actual impact may differ, possibly materially, from what is currently expected. Additional factors that may cause future events and actual results, financial or otherwise, to differ, potentially materially, from those discussed in or implied by the forward-looking statements include the risks and uncertainties discussed in the sections entitled “Business”, “Risk Factors” and “Management’s Discussion and Analysis of Financial Condition and Results of Operations” in this Quarterly Report on Form 10-Q and our Annual Report on Form 10-K filed with the SEC on February 26, 2026. Although we believe that the expectations reflected in the forward-looking statements are reasonable, we 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speak only as of the date they are made. Except as required by law, we undertake no obligation to update any forward-looking statements for any reason to conform these statements to actual results or to changes in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center"/>
        <w:tblInd w:w="0" w:type="dxa"/>
        <w:tblLayout w:type="fixed"/>
        <w:tblCellMar>
          <w:top w:w="28" w:type="dxa"/>
          <w:left w:w="28" w:type="dxa"/>
          <w:bottom w:w="28" w:type="dxa"/>
          <w:right w:w="28" w:type="dxa"/>
        </w:tblCellMar>
      </w:tblPr>
      <w:tblGrid>
        <w:gridCol w:w="2988"/>
        <w:gridCol w:w="2370"/>
        <w:gridCol w:w="2359"/>
        <w:gridCol w:w="202"/>
        <w:gridCol w:w="714"/>
        <w:gridCol w:w="112"/>
        <w:gridCol w:w="109"/>
        <w:gridCol w:w="109"/>
        <w:gridCol w:w="109"/>
        <w:gridCol w:w="212"/>
        <w:gridCol w:w="750"/>
        <w:gridCol w:w="171"/>
      </w:tblGrid>
      <w:tr>
        <w:trPr/>
        <w:tc>
          <w:tcPr>
            <w:tcW w:w="2988"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71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684.2 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other than goodwill, net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1,695.7 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 (DEFICIT)</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Commitments and contingencies (Note 8)</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Stockholders' equity (deficit)</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of $0.01 par value; 1,600.0 shares authorized; 433.2 and 428.8 shares issued, respectively, and 381.4 and 377.0 shares outstanding, respectively</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51.8 shares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(1,251.2)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stockholders' deficit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deficit</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hanging="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for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75"/>
        <w:gridCol w:w="1639"/>
        <w:gridCol w:w="164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6"/>
      </w:tblGrid>
      <w:tr>
        <w:trPr/>
        <w:tc>
          <w:tcPr>
            <w:tcW w:w="217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 attributable to common stockholders, 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 attributable to common stockholders, 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used in computing net income (loss) per share attributable to common stockholders, basic</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used in computing net income (loss) per share attributable to common stockholders, diluted</w:t>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for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90"/>
        <w:gridCol w:w="268"/>
        <w:gridCol w:w="271"/>
        <w:gridCol w:w="337"/>
        <w:gridCol w:w="337"/>
        <w:gridCol w:w="338"/>
        <w:gridCol w:w="109"/>
        <w:gridCol w:w="109"/>
        <w:gridCol w:w="109"/>
        <w:gridCol w:w="198"/>
        <w:gridCol w:w="381"/>
        <w:gridCol w:w="112"/>
        <w:gridCol w:w="109"/>
        <w:gridCol w:w="109"/>
        <w:gridCol w:w="109"/>
        <w:gridCol w:w="196"/>
        <w:gridCol w:w="574"/>
        <w:gridCol w:w="109"/>
        <w:gridCol w:w="109"/>
        <w:gridCol w:w="109"/>
        <w:gridCol w:w="109"/>
        <w:gridCol w:w="196"/>
        <w:gridCol w:w="691"/>
        <w:gridCol w:w="109"/>
        <w:gridCol w:w="109"/>
        <w:gridCol w:w="109"/>
        <w:gridCol w:w="109"/>
        <w:gridCol w:w="298"/>
        <w:gridCol w:w="710"/>
        <w:gridCol w:w="167"/>
        <w:gridCol w:w="109"/>
        <w:gridCol w:w="109"/>
        <w:gridCol w:w="109"/>
        <w:gridCol w:w="220"/>
        <w:gridCol w:w="793"/>
        <w:gridCol w:w="123"/>
        <w:gridCol w:w="109"/>
        <w:gridCol w:w="109"/>
        <w:gridCol w:w="109"/>
        <w:gridCol w:w="237"/>
        <w:gridCol w:w="692"/>
        <w:gridCol w:w="196"/>
      </w:tblGrid>
      <w:tr>
        <w:trPr/>
        <w:tc>
          <w:tcPr>
            <w:tcW w:w="6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capital</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other comprehensive</w:t>
            </w:r>
          </w:p>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at January 1, 2026</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upon vesting of RSUs and PSUs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withholding related to vesting of RSUs and other</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2026</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380.4 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upon vesting of RSUs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withholding related to vesting of RSUs and other</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2026</w:t>
            </w:r>
          </w:p>
        </w:tc>
        <w:tc>
          <w:tcPr>
            <w:tcW w:w="6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9"/>
        <w:gridCol w:w="267"/>
        <w:gridCol w:w="270"/>
        <w:gridCol w:w="337"/>
        <w:gridCol w:w="337"/>
        <w:gridCol w:w="338"/>
        <w:gridCol w:w="109"/>
        <w:gridCol w:w="109"/>
        <w:gridCol w:w="109"/>
        <w:gridCol w:w="198"/>
        <w:gridCol w:w="381"/>
        <w:gridCol w:w="112"/>
        <w:gridCol w:w="109"/>
        <w:gridCol w:w="109"/>
        <w:gridCol w:w="109"/>
        <w:gridCol w:w="196"/>
        <w:gridCol w:w="573"/>
        <w:gridCol w:w="109"/>
        <w:gridCol w:w="109"/>
        <w:gridCol w:w="109"/>
        <w:gridCol w:w="109"/>
        <w:gridCol w:w="196"/>
        <w:gridCol w:w="691"/>
        <w:gridCol w:w="109"/>
        <w:gridCol w:w="109"/>
        <w:gridCol w:w="109"/>
        <w:gridCol w:w="109"/>
        <w:gridCol w:w="300"/>
        <w:gridCol w:w="714"/>
        <w:gridCol w:w="168"/>
        <w:gridCol w:w="109"/>
        <w:gridCol w:w="109"/>
        <w:gridCol w:w="109"/>
        <w:gridCol w:w="253"/>
        <w:gridCol w:w="740"/>
        <w:gridCol w:w="142"/>
        <w:gridCol w:w="109"/>
        <w:gridCol w:w="109"/>
        <w:gridCol w:w="109"/>
        <w:gridCol w:w="237"/>
        <w:gridCol w:w="691"/>
        <w:gridCol w:w="195"/>
      </w:tblGrid>
      <w:tr>
        <w:trPr/>
        <w:tc>
          <w:tcPr>
            <w:tcW w:w="6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66" w:before="0" w:after="0"/>
              <w:jc w:val="center"/>
              <w:rPr>
                <w:rFonts w:ascii="Times New Roman;serif" w:hAnsi="Times New Roman;serif"/>
                <w:b/>
                <w:color w:val="000000"/>
                <w:sz w:val="16"/>
              </w:rPr>
            </w:pPr>
            <w:r>
              <w:rPr>
                <w:rFonts w:ascii="Times New Roman;serif" w:hAnsi="Times New Roman;serif"/>
                <w:b/>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at January 1, 2025</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 declared ($0.10 per share)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upon vesting of RSUs and PSUs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withholding related to vesting of RSUs and other</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2025</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 declared ($0.10 per share)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upon vesting of RSUs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withholding related to vesting of RSUs and other</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2025</w:t>
            </w:r>
          </w:p>
        </w:tc>
        <w:tc>
          <w:tcPr>
            <w:tcW w:w="6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(905.6)</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Represents an amount less than 0.1 or $0.1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tbl>
      <w:tblPr>
        <w:tblW w:w="8394" w:type="dxa"/>
        <w:jc w:val="left"/>
        <w:tblInd w:w="0" w:type="dxa"/>
        <w:tblLayout w:type="fixed"/>
        <w:tblCellMar>
          <w:top w:w="28" w:type="dxa"/>
          <w:left w:w="28" w:type="dxa"/>
          <w:bottom w:w="28" w:type="dxa"/>
          <w:right w:w="28" w:type="dxa"/>
        </w:tblCellMar>
      </w:tblPr>
      <w:tblGrid>
        <w:gridCol w:w="2282"/>
        <w:gridCol w:w="2001"/>
        <w:gridCol w:w="2017"/>
        <w:gridCol w:w="196"/>
        <w:gridCol w:w="556"/>
        <w:gridCol w:w="109"/>
        <w:gridCol w:w="109"/>
        <w:gridCol w:w="109"/>
        <w:gridCol w:w="109"/>
        <w:gridCol w:w="196"/>
        <w:gridCol w:w="556"/>
        <w:gridCol w:w="154"/>
      </w:tblGrid>
      <w:tr>
        <w:trPr/>
        <w:tc>
          <w:tcPr>
            <w:tcW w:w="228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loan discount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excess acquisition date fair value of contingent consideration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deferred taxes,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from foreign currency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 (income),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and non-current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and 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Capitalization of internal use software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software for internal use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bank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withholdings on stock-based payments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share buyback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changes on cash and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beginning of the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end of the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r>
    </w:p>
    <w:tbl>
      <w:tblPr>
        <w:tblW w:w="6803" w:type="dxa"/>
        <w:jc w:val="center"/>
        <w:tblInd w:w="0" w:type="dxa"/>
        <w:tblLayout w:type="fixed"/>
        <w:tblCellMar>
          <w:top w:w="28" w:type="dxa"/>
          <w:left w:w="28" w:type="dxa"/>
          <w:bottom w:w="28" w:type="dxa"/>
          <w:right w:w="28" w:type="dxa"/>
        </w:tblCellMar>
      </w:tblPr>
      <w:tblGrid>
        <w:gridCol w:w="1773"/>
        <w:gridCol w:w="1554"/>
        <w:gridCol w:w="1562"/>
        <w:gridCol w:w="196"/>
        <w:gridCol w:w="466"/>
        <w:gridCol w:w="109"/>
        <w:gridCol w:w="109"/>
        <w:gridCol w:w="109"/>
        <w:gridCol w:w="109"/>
        <w:gridCol w:w="196"/>
        <w:gridCol w:w="466"/>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financing and investing activities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purchases of property and equipment and intangible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acquired under operating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stock-based compensation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dividend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unless specified otherwise)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ORGANIZATION AND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Description of business and 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Playtika Holding Corp. (“Playtika”) and its subsidiaries (together with Playtika, the “Company”) is one of the world’s leading developers of mobile games creating fun, innovative experiences that entertain and engage its users. It has built best-in-class live game operations services and a proprietary technology platform to support its portfolio of games which enable it to drive strong user engagement and monetization. The Company’s games are free-to-play, and the Company seeks to provide novel, curated in-game content and offers to its users at optimal points in their game journeys to drive user engagement and monetization.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generally accepted accounting principles in the United States (“U.S. GAAP”) and include Playtika and all subsidiaries in which the Company has a controlling financial interest. Control generally equates to ownership percentage, whereby (i) affiliates that are more than 50% owned are consolidated; (ii) investments in affiliates of 50% or less but greater than 20% are generally accounted for using the equity method where the Company has determined that it has significant influence over the entities; and (iii) investments in affiliates of 20% or less are generally accounted for at cost minus impairment, if any, plus or minus changes resulting from observable price changes in orderly transactions for the identical or a similar investment of the same issuer.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significant accounting policies referenced in the annual consolidated financial statements of the Company as of December 31, 2025 have been applied consistently in these unaudited interim consolidated financial statements. In the opinion of management, all adjustments considered necessary for a fair presentation have been recorded within the accompanying financial statements, consisting of normal, recurring adjustments, and all intercompany balances and transactions have been eliminated in the consolidation. Operating results for the three and six months ended June 30, 2026 are not necessarily indicative of the results that may be expected for the year ending December 31, 2026. For further information, reference is made to the consolidated financial statements and footnotes thereto included in the Company's Annual Report on Form 10-K for the year ended December 31, 2025, as filed with the SEC on February 26,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Financial statements in United States dollars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currency of the primary economic environment in which the operations of Playtika and its subsidiaries are conducted is the U.S. dollar ("dollar"); thus, the dollar is the functional currency of Playtika and its subsidiaries. Playtika and its subsidiaries' transactions and balances denominated in dollars are presented at their original amounts. Non-dollar transactions and balances have been remeasured to dollars in accordance with ASC 830, Foreign Currency Matters. All transaction gains and losses from remeasurement of monetary balance sheet items denominated in non-dollar currencies are reflected as financial income or expenses, as appropriate.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the Company changed the functional currency of a certain subsidiary from its respective local currency to the U.S. dollar. The change in functional currency is due to increased exposure to the U.S. dollar as a result of a change in facts and circumstances in the primary economic environment in which the subsidiary operates.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interim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liabilities at the dates of the financial statements, and the reported amounts of revenues and expenses during the reporting periods. Actual results could differ from those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240" w:after="283"/>
        <w:jc w:val="righ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 of credit risk and significant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expose the Company to concentrations of credit risk, consist primarily of cash and cash equivalents, short-term investments, restricted cash, accounts receivable and derivative contracts. The Company’s investment policy imposes certain maturity limits on the Company’s portfolio and restricts the permitted investments to the purchase of bank deposits and highly rated fixed income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Apple and Google are significant distribution and payment platforms for the Company's games. A significant portion of the Company’s revenues has been generated from players who accessed the Company's games through these platforms. Therefore, the Company's accounts receivable are derived mainly from sales through these two platforms.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accounts receivable of the Company as a percentage of the total accounts receivable as of the dates indicated:</w:t>
      </w:r>
    </w:p>
    <w:tbl>
      <w:tblPr>
        <w:tblW w:w="2981" w:type="dxa"/>
        <w:jc w:val="left"/>
        <w:tblInd w:w="0" w:type="dxa"/>
        <w:tblLayout w:type="fixed"/>
        <w:tblCellMar>
          <w:top w:w="28" w:type="dxa"/>
          <w:left w:w="28" w:type="dxa"/>
          <w:bottom w:w="28" w:type="dxa"/>
          <w:right w:w="28" w:type="dxa"/>
        </w:tblCellMar>
      </w:tblPr>
      <w:tblGrid>
        <w:gridCol w:w="261"/>
        <w:gridCol w:w="229"/>
        <w:gridCol w:w="231"/>
        <w:gridCol w:w="249"/>
        <w:gridCol w:w="249"/>
        <w:gridCol w:w="251"/>
        <w:gridCol w:w="109"/>
        <w:gridCol w:w="109"/>
        <w:gridCol w:w="109"/>
        <w:gridCol w:w="346"/>
        <w:gridCol w:w="346"/>
        <w:gridCol w:w="492"/>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Apple</w:t>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Google</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are recorded at their transaction amounts and do not bear interest. The Company bases its allowance for credit losses on management's best estimate of the amount of probable credit losses in the Company's existing accounts receivable based on historical collection experience and current economic and market conditions. There were no credit losses for the three or six months ended June 30,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Severance Pay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14, 2026, the Company announced a reduction in workforce by approximately fifteen percent, which was substantially complete during the first quarter of 2026. Severance liabilities associated with this reduction in force were recognized as incurred within operating expenses on the consolidated statements of comprehensive income and totaled approximately $1.6 million and $15.3 million for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and cash equivalents and Short-term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and highly liquid investments with maturities of three months or less from the date of purchase. Cash equivalents include investments in term deposits, commercial papers and money market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with maturities of more than three months but less than one year from the date of purchase are included in short-term investments. Such short-term investments may include investments in term deposits, corporate bonds and commercial papers.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accounts for investments in debt securities in accordance with ASC No. 320, "</w:t>
      </w:r>
      <w:r>
        <w:rPr>
          <w:rFonts w:ascii="Times New Roman;serif" w:hAnsi="Times New Roman;serif"/>
          <w:b w:val="false"/>
          <w:i/>
          <w:color w:val="000000"/>
          <w:sz w:val="20"/>
        </w:rPr>
        <w:t>Investments - Debt Securities</w:t>
      </w:r>
      <w:r>
        <w:rPr>
          <w:rFonts w:ascii="Times New Roman;serif" w:hAnsi="Times New Roman;serif"/>
          <w:b w:val="false"/>
          <w:color w:val="000000"/>
          <w:sz w:val="20"/>
        </w:rPr>
        <w:t>". The Company determines the appropriate classification of its investments at the time of purchase and reevaluates such designation at each balance sheet date. Unrealized gains and losses, net of tax, reported in accumulated other comprehensive income (loss) in shareholders' deficit. Gains and losses are determined using the specific identification method and recognized when realized in the consolidated statements of comprehensive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The Company periodically evaluates its available-for-sale debt securities for impairment in accordance with ASU 2016-13, </w:t>
      </w:r>
      <w:r>
        <w:rPr>
          <w:rFonts w:ascii="Times New Roman;serif" w:hAnsi="Times New Roman;serif"/>
          <w:b w:val="false"/>
          <w:i/>
          <w:color w:val="000000"/>
          <w:sz w:val="20"/>
        </w:rPr>
        <w:t>Financial Instruments - Credit Losses (Topic 326): Measurement of Credit Losses on Financial Instruments</w:t>
      </w:r>
      <w:r>
        <w:rPr>
          <w:rFonts w:ascii="Times New Roman;serif" w:hAnsi="Times New Roman;serif"/>
          <w:b w:val="false"/>
          <w:color w:val="000000"/>
          <w:sz w:val="20"/>
        </w:rPr>
        <w:t xml:space="preserve">. If the amortized cost of an individual security exceeds its fair value, the Company considers its intent to sell the security or whether it is more likely than not that it will be required to sell the security before recovery of its amortized basis. If either of these criteria are met, the Company writes down the security to its fair value and records the impairment charge in the Consolidated Statements of Comprehensive Loss. If neither of these criteria are met, the Company assesses whether credit loss exists.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240" w:after="283"/>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making this assessment, the Company considers the extent to which fair value is less than amortized cost, any changes to the rating of the security by a rating agency, and any adverse conditions specifically related to the security,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additional impairment not recorded through an allowance for credit losses is recognized in other comprehensive income (loss).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credit losses were immaterial.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0" w:after="0"/>
        <w:jc w:val="both"/>
        <w:rPr/>
      </w:pPr>
      <w:r>
        <w:rPr>
          <w:rFonts w:ascii="Times New Roman;serif" w:hAnsi="Times New Roman;serif"/>
          <w:b w:val="false"/>
          <w:color w:val="000000"/>
          <w:sz w:val="20"/>
        </w:rPr>
        <w:t xml:space="preserve">The Company uses interest rate swap contracts to reduce its exposure to fluctuating interest rates associated with the Company’s variable rate debt, and to effectively increase the portion of debt upon which the Company pays a fixed interest rate. The Company’s interest rate swap agreements are designated as cash flow hedges under Accounting Standards Codification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(“ASC 815”), involving the receipt of variable amounts from a counterparty in exchange for the Company making fixed-rate payments over the life of the agreement, without the exchange of the underlying notional amount. These hedges are highly effective in offsetting changes in the Company’s future expected cash flows due to the fluctuation of the Company’s variable rate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monitors the effectiveness of its hedges on a quarterly basis, both qualitatively and quantitatively. The Company performed a regression analysis at inception of the hedging relationship and at period end in which it compared the change in the fair value of the swap transaction and the change in fair value of a hypothetical interest rate swap having terms that identically match the terms of the debt's interest rate payments based on historical swap rates. Based upon this analysis, the Company concluded that the hedging instruments are expected to be highly effective at offsetting changes in the hedged transactions attributable to the risk being hedged. For each future reporting period, the Company will continue performing retrospective and prospective assessments of hedge effectiveness in a single regression analysis by updating the regression analysis that was prepared at the inception of the hedging relationship.</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uses foreign currency derivative contracts to reduce its exposure to fluctuating exchange rates between the United States dollar (as the Company’s functional currency) and certain expense lines denominated in Euros (“EUR”), Israeli Shekels (“ILS”), Polish Zloty (“PLN”) and Romanian Leu (“RON”). The Company’s derivative contracts are designated as cash flow hedges under ASC 815. The Company monitors the effectiveness of its hedges on a quarterly basis, both qualitatively and quantitatively, and expects these hedges to remain highly effective at offsetting fluctuations in market rates through their respective maturity dates. See </w:t>
      </w:r>
      <w:r>
        <w:rPr>
          <w:rFonts w:ascii="Times New Roman;serif" w:hAnsi="Times New Roman;serif"/>
          <w:b w:val="false"/>
          <w:i/>
          <w:color w:val="000000"/>
          <w:sz w:val="20"/>
        </w:rPr>
        <w:t>Note 6, Derivative Instruments,</w:t>
      </w:r>
      <w:r>
        <w:rPr>
          <w:color w:val="000000"/>
        </w:rPr>
        <w:t xml:space="preserve"> </w:t>
      </w:r>
      <w:r>
        <w:rPr>
          <w:rFonts w:ascii="Times New Roman;serif" w:hAnsi="Times New Roman;serif"/>
          <w:b w:val="false"/>
          <w:color w:val="000000"/>
          <w:sz w:val="20"/>
        </w:rPr>
        <w:t>for additional discussion.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fair value of derivative financial instruments is recognized as an asset or liability at each balance sheet date, with changes in fair value recorded in other comprehensive income on the consolidated statements of comprehensive income until the future underlying transactions occur. The fair value approximates the amount the Company would pay or receive if these contracts were settled at the respective valuation dates. The inputs used to measure the fair value of the Company’s interest rate swap agreements and foreign currency derivative contracts are categorized as Level 2 in the fair value hierarchy as established by ASC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 xml:space="preserve">(“ASC 820”). See </w:t>
      </w:r>
      <w:r>
        <w:rPr>
          <w:rFonts w:ascii="Times New Roman;serif" w:hAnsi="Times New Roman;serif"/>
          <w:b w:val="false"/>
          <w:i/>
          <w:color w:val="000000"/>
          <w:sz w:val="20"/>
        </w:rPr>
        <w:t>Note 7, Fair Value Measurements,</w:t>
      </w:r>
      <w:r>
        <w:rPr>
          <w:color w:val="000000"/>
        </w:rPr>
        <w:t xml:space="preserve"> </w:t>
      </w:r>
      <w:r>
        <w:rPr>
          <w:rFonts w:ascii="Times New Roman;serif" w:hAnsi="Times New Roman;serif"/>
          <w:b w:val="false"/>
          <w:color w:val="000000"/>
          <w:sz w:val="20"/>
        </w:rPr>
        <w:t>for additional discussion.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derivatives, which are designated as accounting hedges, are presented consistently with the cash flow classification of the related hedged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Investment in unconsolidated entities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holds certain equity investments in various unconsolidated entities that, based upon the structure of the investment, are not within the scope of equity method investment accounting that would lead to the consolidation conclusions above. Instead, these investments fall within the scope of ASC 321, </w:t>
      </w:r>
      <w:r>
        <w:rPr>
          <w:rFonts w:ascii="Times New Roman;serif" w:hAnsi="Times New Roman;serif"/>
          <w:b w:val="false"/>
          <w:i/>
          <w:color w:val="000000"/>
          <w:sz w:val="20"/>
        </w:rPr>
        <w:t xml:space="preserve">Investments - Equity Securities. </w:t>
      </w:r>
      <w:r>
        <w:rPr>
          <w:rFonts w:ascii="Times New Roman;serif" w:hAnsi="Times New Roman;serif"/>
          <w:b w:val="false"/>
          <w:color w:val="000000"/>
          <w:sz w:val="20"/>
        </w:rPr>
        <w:t xml:space="preserve">As permitted within that guidance, the Company has elected to account for these investments at cost less impairment, adjusted for changes in fair value from observable transactions for identical or similar investments of the same issuer as of the respective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240" w:after="283"/>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dates. Due to the performance of certain of these investments leading to uncertainty regarding their future viability, the Company recorded an impairment of $0.4 million related to these investments during the three and six months ended June 30, 2026. No changes were recorded due to impairment or changes in fair value during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 (loss) per share attributable to common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all periods presented herein, basic net income (loss) per share is calculated by dividing net income by the weighted-average common shares outstanding. Diluted net income (loss) per share reflects the effect of all potentially dilutive common shares outstanding by dividing net income (loss) by the weighted-average of all common and potentially dilutive shares outstanding. Performance Stock Units (“PSUs”) are considered potentially dilutive as of the first day of the reporting period in which the underlying performance metric is achieved. In the event of a loss, diluted shares are not considered because of their anti-dilutive effect. The Company uses the treasury stock method on a grant-by-grant basis as the method for determining the dilutive effect of options, Restricted Stock Units (“RSUs”) and PSUs. Under this method, it is assumed that the hypothetical proceeds received upon settlement are used to repurchase common shares at the average market price during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 by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w:t>
      </w:r>
      <w:r>
        <w:rPr>
          <w:rFonts w:ascii="Times New Roman;serif" w:hAnsi="Times New Roman;serif"/>
          <w:b w:val="false"/>
          <w:color w:val="000000"/>
          <w:sz w:val="20"/>
        </w:rPr>
        <w:t xml:space="preserve">, which addresses authoritative guidance on the accounting for government grants received by business entities. ASU 2025-10 is effective for fiscal years beginning after December 15, 2028, including interim periods within those fiscal years, with early adoption permitted. The Company is currently evaluating the impact of adopting ASU 2025-10.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SHORT-TERM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Short-term investments at December 31, 2025 are as follows (in millions):</w:t>
      </w:r>
    </w:p>
    <w:tbl>
      <w:tblPr>
        <w:tblW w:w="10205" w:type="dxa"/>
        <w:jc w:val="left"/>
        <w:tblInd w:w="0" w:type="dxa"/>
        <w:tblLayout w:type="fixed"/>
        <w:tblCellMar>
          <w:top w:w="28" w:type="dxa"/>
          <w:left w:w="28" w:type="dxa"/>
          <w:bottom w:w="28" w:type="dxa"/>
          <w:right w:w="28" w:type="dxa"/>
        </w:tblCellMar>
      </w:tblPr>
      <w:tblGrid>
        <w:gridCol w:w="874"/>
        <w:gridCol w:w="768"/>
        <w:gridCol w:w="757"/>
        <w:gridCol w:w="275"/>
        <w:gridCol w:w="805"/>
        <w:gridCol w:w="141"/>
        <w:gridCol w:w="109"/>
        <w:gridCol w:w="109"/>
        <w:gridCol w:w="109"/>
        <w:gridCol w:w="577"/>
        <w:gridCol w:w="1111"/>
        <w:gridCol w:w="302"/>
        <w:gridCol w:w="109"/>
        <w:gridCol w:w="109"/>
        <w:gridCol w:w="109"/>
        <w:gridCol w:w="513"/>
        <w:gridCol w:w="987"/>
        <w:gridCol w:w="267"/>
        <w:gridCol w:w="109"/>
        <w:gridCol w:w="109"/>
        <w:gridCol w:w="109"/>
        <w:gridCol w:w="503"/>
        <w:gridCol w:w="967"/>
        <w:gridCol w:w="37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Unrealized gains, 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 gross</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short-term investments</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short-term investments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240" w:after="283"/>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ACCRUED EXPENSES AND OTHER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at June 30, 2026 and December 31, 2025 are as follows (in millions):</w:t>
      </w:r>
    </w:p>
    <w:tbl>
      <w:tblPr>
        <w:tblW w:w="6903" w:type="dxa"/>
        <w:jc w:val="left"/>
        <w:tblInd w:w="0" w:type="dxa"/>
        <w:tblLayout w:type="fixed"/>
        <w:tblCellMar>
          <w:top w:w="28" w:type="dxa"/>
          <w:left w:w="28" w:type="dxa"/>
          <w:bottom w:w="28" w:type="dxa"/>
          <w:right w:w="28" w:type="dxa"/>
        </w:tblCellMar>
      </w:tblPr>
      <w:tblGrid>
        <w:gridCol w:w="1615"/>
        <w:gridCol w:w="1418"/>
        <w:gridCol w:w="1422"/>
        <w:gridCol w:w="211"/>
        <w:gridCol w:w="616"/>
        <w:gridCol w:w="109"/>
        <w:gridCol w:w="109"/>
        <w:gridCol w:w="109"/>
        <w:gridCol w:w="109"/>
        <w:gridCol w:w="255"/>
        <w:gridCol w:w="744"/>
        <w:gridCol w:w="186"/>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Employees and 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 buy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accruals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DEBT</w:t>
      </w:r>
    </w:p>
    <w:tbl>
      <w:tblPr>
        <w:tblW w:w="9899" w:type="dxa"/>
        <w:jc w:val="left"/>
        <w:tblInd w:w="0" w:type="dxa"/>
        <w:tblLayout w:type="fixed"/>
        <w:tblCellMar>
          <w:top w:w="28" w:type="dxa"/>
          <w:left w:w="28" w:type="dxa"/>
          <w:bottom w:w="28" w:type="dxa"/>
          <w:right w:w="28" w:type="dxa"/>
        </w:tblCellMar>
      </w:tblPr>
      <w:tblGrid>
        <w:gridCol w:w="1195"/>
        <w:gridCol w:w="1050"/>
        <w:gridCol w:w="1055"/>
        <w:gridCol w:w="265"/>
        <w:gridCol w:w="265"/>
        <w:gridCol w:w="266"/>
        <w:gridCol w:w="109"/>
        <w:gridCol w:w="109"/>
        <w:gridCol w:w="109"/>
        <w:gridCol w:w="244"/>
        <w:gridCol w:w="244"/>
        <w:gridCol w:w="246"/>
        <w:gridCol w:w="109"/>
        <w:gridCol w:w="109"/>
        <w:gridCol w:w="109"/>
        <w:gridCol w:w="211"/>
        <w:gridCol w:w="766"/>
        <w:gridCol w:w="109"/>
        <w:gridCol w:w="109"/>
        <w:gridCol w:w="109"/>
        <w:gridCol w:w="109"/>
        <w:gridCol w:w="211"/>
        <w:gridCol w:w="766"/>
        <w:gridCol w:w="109"/>
        <w:gridCol w:w="109"/>
        <w:gridCol w:w="109"/>
        <w:gridCol w:w="109"/>
        <w:gridCol w:w="296"/>
        <w:gridCol w:w="1077"/>
        <w:gridCol w:w="216"/>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interest rates)</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Book value</w:t>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29" w:type="dxa"/>
            <w:gridSpan w:val="12"/>
            <w:tcBorders/>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2,378.0 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Book value of debt in the table above is reported net of deferred financing costs and original issue discount of $16.6 million and $20.7 million at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 $1.9 billion senior secured first lien term loan (the “Term Loan”) maturing on March 11, 2028 and a $550 million revolving credit facility (the “Revolving Credit Facility”) (together, the “Credit Agreement”), maturing on March 6, 2027 (subject to certain conditions, see below). The Term Loan requires quarterly principal payments equal to 0.25% of the original aggregate principal amount of the Term Loan with balance due at maturity.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includes a maximum first-priority net senior secured leverage ratio financial maintenance covenant of 6.25 to 1.0. At June 30, 2026, the Company’s first-priority net senior secured leverage ratio was 1.8 to 1.0.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its financial and other covenants under the Credit Agreement as of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April 23, 2025, the Company entered into a Fourth Amendment (the “Fourth Amendment”) to the Credit Agreement which, among other things, (a) amended the Pricing Grid (as defined in the Credit Agreement) for the Company’s revolving credit facility under the Credit Agreement (the “Revolving Credit Facility”), and (b) decreased the aggregate principal amount of the Revolving Credi</w:t>
      </w:r>
      <w:r>
        <w:rPr>
          <w:rFonts w:ascii="Times New Roman;serif" w:hAnsi="Times New Roman;serif"/>
          <w:b w:val="false"/>
          <w:color w:val="000000"/>
          <w:sz w:val="20"/>
        </w:rPr>
        <w:t xml:space="preserve">t Facility from $600 million to $550 million. The Fourth Amendment was also intended to extend the maturity of the Revolving Credit Facility to September 11, 2027, subject to the Credit Agreement being filed and registered with the National Development and Reform Commission of the People’s Republic of China (the “NDRC”) unless the NDRC states in writing that such registration is not required. This filing requirement with the NDRC is required of the Company’s controlling shareholder due to the fact that the controlling shareholder is controlled by a citizen of the People’s Republic of China. On December 9, 2025, the Company’s controlling shareholder elected to withdraw its filing of the Credit Agreement with the NDRC and, as a result, the maturity of the Revolving Credit Facility was not extended under the Fourth Amendment.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16, 2026, the Company entered into an Incremental Assumption Agreement No. 4 and Fifth Amendment (the “Fifth Amendment”) to the Credit Agreement which, among other things, effected a refinancing of the Company’s existing $550 million revolving credit facility under the Credit Agreement (the “New Revolving Credit Facility”) on March 11, 2026 subject to the satisfaction of certain conditions set forth therein. The New Revolving Credit Facility will mature on March 6, 2027. Other than the revised maturity date, the New Revolving Credit Facility retains the same material terms as the Company’s existing revolving credit facility immediately prior to the effectiveness of the Fifth Amendment.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Pursuant to the terms of the Fourth Amendment, borrowings under the Revolving Credit Facility bear interest at a rate equal to, at the Company’s option, either (a) a forward-looking term rate based on the secured overnight financing rate for the applicable interest period (“Term SOFR”), subject to a floor of 0.00% or (b) a base rate determined by reference to the highest of (i) the federal funds rate plus 0.50%, (ii) the prime rate as determined by the administrative agent and (iii) the one-month Term SOFR plus 1.00% per annum, in each case plus an applicable margin. Such applicable margin with respect to the Revolving Credit Facility is 3.00% per annum in the case of any Term SOFR loan and 2.00% per annum in the case of any base rate loan, subject to three 0.25% step-downs based on the Company’s first lien net leverage ratio.</w:t>
      </w:r>
      <w:r>
        <w:rPr>
          <w:color w:val="000000"/>
        </w:rPr>
        <w:t xml:space="preserve"> </w:t>
      </w:r>
      <w:r>
        <w:rPr>
          <w:rFonts w:ascii="Times New Roman;serif" w:hAnsi="Times New Roman;serif"/>
          <w:b w:val="false"/>
          <w:color w:val="000000"/>
          <w:sz w:val="20"/>
          <w:shd w:fill="FFFFFF" w:val="clear"/>
        </w:rPr>
        <w:t>In addition, on a quarterly basis, the Company is required to pay each lender under the Revolving Credit Facility a commitment fee in respect of any unused commitments under the Revolving Credit Facility in the amount of 0.50% of the principal amount of the unused commitments of such lender, subject to two 0.125% step-downs based on the Company’s first lien net leverage ratio.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Other than what is disclosed above, other significant terms and conditions of the Credit Agreement have not changed from what was disclosed in </w:t>
      </w:r>
      <w:r>
        <w:rPr>
          <w:rFonts w:ascii="Times New Roman;serif" w:hAnsi="Times New Roman;serif"/>
          <w:b w:val="false"/>
          <w:i/>
          <w:color w:val="000000"/>
          <w:sz w:val="20"/>
        </w:rPr>
        <w:t xml:space="preserve">Note 13, Debt </w:t>
      </w:r>
      <w:r>
        <w:rPr>
          <w:rFonts w:ascii="Times New Roman;serif" w:hAnsi="Times New Roman;serif"/>
          <w:b w:val="false"/>
          <w:color w:val="000000"/>
          <w:sz w:val="20"/>
        </w:rPr>
        <w:t>in our Annual Report on Form 10-K filed with the SEC on February 26,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Offering of 4.250% Senior Notes due 2029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11, 2021, the Company issued $600.0 million aggregate principal amount of its 4.250% senior notes due 2029 (the “Notes”) under an indenture, dated March 11, 2021 (the “Indenture”), among the Company, the subsidiary guarantors party thereto and Wilmington Trust, National Association, as trustee (the “Trustee”).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Maturity and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mature on March 15, 2029. Interest on the Notes will accrue at a rate of 4.250% per annum. Interest on the Notes is payable semi-annually in cash in arrears on March 15 and September 15 of each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significant terms and conditions of the Notes have not changed from what was disclosed in </w:t>
      </w:r>
      <w:r>
        <w:rPr>
          <w:rFonts w:ascii="Times New Roman;serif" w:hAnsi="Times New Roman;serif"/>
          <w:b w:val="false"/>
          <w:i/>
          <w:color w:val="000000"/>
          <w:sz w:val="20"/>
        </w:rPr>
        <w:t>Note 13, Debt</w:t>
      </w:r>
      <w:r>
        <w:rPr>
          <w:color w:val="000000"/>
        </w:rPr>
        <w:t xml:space="preserve"> </w:t>
      </w:r>
      <w:r>
        <w:rPr>
          <w:rFonts w:ascii="Times New Roman;serif" w:hAnsi="Times New Roman;serif"/>
          <w:b w:val="false"/>
          <w:color w:val="000000"/>
          <w:sz w:val="20"/>
        </w:rPr>
        <w:t>in our Annual Report on Form 10-K filed with the SEC on February 26,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EQUITY TRANSACTIONS AND STOCK INCENTIVE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 of Stock Incentive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26, 2020, the Board of Directors of the Company approved the Playtika Holding Corp. 2020 Incentive Award Plan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 total of 63,743,006 shares of the Company’s common stock had been allocated to awards granted under the Plan and 16,458,412 shares remained available for future grants.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9, 2024, the Company announced that its Board of Directors authorized a stock repurchase program for up to $150 million of the Company’s common stock. Under the repurchase program, repurchases can be made using a variety of methods, which may include open market purchases, privately negotiated transactions or otherwise. The specific timing, price and size of purchases will depend on prevailing stock prices, general economic and market conditions,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considerations. The repurchase program does not obligate the Company to acquire any particular amount of common stock, and may be suspended or discontinued at any time at the Company’s discretion. There were no shares of common stock repurchased and retired during the three months ended June 30, 2026. As of June 30, 2026, $129.0 million remains available under the Company’s stock repurchase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during the six months ended June 30, 2026:</w:t>
      </w:r>
    </w:p>
    <w:p>
      <w:pPr>
        <w:pStyle w:val="TextBody"/>
        <w:bidi w:val="0"/>
        <w:spacing w:before="0" w:after="0"/>
        <w:jc w:val="both"/>
        <w:rPr/>
      </w:pPr>
      <w:r>
        <w:rPr/>
      </w:r>
    </w:p>
    <w:tbl>
      <w:tblPr>
        <w:tblW w:w="8141" w:type="dxa"/>
        <w:jc w:val="left"/>
        <w:tblInd w:w="0" w:type="dxa"/>
        <w:tblLayout w:type="fixed"/>
        <w:tblCellMar>
          <w:top w:w="28" w:type="dxa"/>
          <w:left w:w="28" w:type="dxa"/>
          <w:bottom w:w="28" w:type="dxa"/>
          <w:right w:w="28" w:type="dxa"/>
        </w:tblCellMar>
      </w:tblPr>
      <w:tblGrid>
        <w:gridCol w:w="1011"/>
        <w:gridCol w:w="888"/>
        <w:gridCol w:w="890"/>
        <w:gridCol w:w="358"/>
        <w:gridCol w:w="358"/>
        <w:gridCol w:w="365"/>
        <w:gridCol w:w="109"/>
        <w:gridCol w:w="109"/>
        <w:gridCol w:w="109"/>
        <w:gridCol w:w="428"/>
        <w:gridCol w:w="428"/>
        <w:gridCol w:w="433"/>
        <w:gridCol w:w="109"/>
        <w:gridCol w:w="109"/>
        <w:gridCol w:w="109"/>
        <w:gridCol w:w="211"/>
        <w:gridCol w:w="616"/>
        <w:gridCol w:w="109"/>
        <w:gridCol w:w="109"/>
        <w:gridCol w:w="109"/>
        <w:gridCol w:w="109"/>
        <w:gridCol w:w="290"/>
        <w:gridCol w:w="561"/>
        <w:gridCol w:w="21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Intrinsic</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January 1, 2026</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June 30, 2026</w:t>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Exercisable at June 30, 2026</w:t>
            </w:r>
          </w:p>
        </w:tc>
        <w:tc>
          <w:tcPr>
            <w:tcW w:w="7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used the Black-Scholes option pricing model to estimate the grant-date fair value associated with all employee stock options. There were no options granted in the six months ended June 30, 2026 or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 during the six months ended June 30, 2026:</w:t>
      </w:r>
    </w:p>
    <w:tbl>
      <w:tblPr>
        <w:tblW w:w="7335" w:type="dxa"/>
        <w:jc w:val="left"/>
        <w:tblInd w:w="0" w:type="dxa"/>
        <w:tblLayout w:type="fixed"/>
        <w:tblCellMar>
          <w:top w:w="28" w:type="dxa"/>
          <w:left w:w="28" w:type="dxa"/>
          <w:bottom w:w="28" w:type="dxa"/>
          <w:right w:w="28" w:type="dxa"/>
        </w:tblCellMar>
      </w:tblPr>
      <w:tblGrid>
        <w:gridCol w:w="1011"/>
        <w:gridCol w:w="888"/>
        <w:gridCol w:w="890"/>
        <w:gridCol w:w="109"/>
        <w:gridCol w:w="109"/>
        <w:gridCol w:w="109"/>
        <w:gridCol w:w="109"/>
        <w:gridCol w:w="109"/>
        <w:gridCol w:w="109"/>
        <w:gridCol w:w="338"/>
        <w:gridCol w:w="338"/>
        <w:gridCol w:w="344"/>
        <w:gridCol w:w="109"/>
        <w:gridCol w:w="109"/>
        <w:gridCol w:w="109"/>
        <w:gridCol w:w="247"/>
        <w:gridCol w:w="599"/>
        <w:gridCol w:w="128"/>
        <w:gridCol w:w="109"/>
        <w:gridCol w:w="109"/>
        <w:gridCol w:w="109"/>
        <w:gridCol w:w="258"/>
        <w:gridCol w:w="496"/>
        <w:gridCol w:w="490"/>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Fair</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 of</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Vested</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90"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used the associated per-share value at the time of grant to determine the compensation cost to be recognized for the RSUs granted during the six months ended June 30, 2026. For grants of RSUs during period when the Company expects to pay dividends, the Company estimates the fair value for compensation cost using the value of its common stock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date of grant, reduced by the present value of dividends expected to be paid on its shares of common stock prior to vesting.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assumptions used for the RSUs granted during the six months ended June 30, 2025:</w:t>
      </w:r>
    </w:p>
    <w:tbl>
      <w:tblPr>
        <w:tblW w:w="4935" w:type="dxa"/>
        <w:jc w:val="left"/>
        <w:tblInd w:w="0" w:type="dxa"/>
        <w:tblLayout w:type="fixed"/>
        <w:tblCellMar>
          <w:top w:w="28" w:type="dxa"/>
          <w:left w:w="28" w:type="dxa"/>
          <w:bottom w:w="28" w:type="dxa"/>
          <w:right w:w="28" w:type="dxa"/>
        </w:tblCellMar>
      </w:tblPr>
      <w:tblGrid>
        <w:gridCol w:w="771"/>
        <w:gridCol w:w="677"/>
        <w:gridCol w:w="681"/>
        <w:gridCol w:w="109"/>
        <w:gridCol w:w="109"/>
        <w:gridCol w:w="109"/>
        <w:gridCol w:w="109"/>
        <w:gridCol w:w="693"/>
        <w:gridCol w:w="693"/>
        <w:gridCol w:w="98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3.70% - 4.22%</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5.42% - 7.37%</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2.8 - 3.1</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PSUs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PSU activity during the six months ended June 30, 2026:</w:t>
      </w:r>
    </w:p>
    <w:tbl>
      <w:tblPr>
        <w:tblW w:w="7335" w:type="dxa"/>
        <w:jc w:val="left"/>
        <w:tblInd w:w="0" w:type="dxa"/>
        <w:tblLayout w:type="fixed"/>
        <w:tblCellMar>
          <w:top w:w="28" w:type="dxa"/>
          <w:left w:w="28" w:type="dxa"/>
          <w:bottom w:w="28" w:type="dxa"/>
          <w:right w:w="28" w:type="dxa"/>
        </w:tblCellMar>
      </w:tblPr>
      <w:tblGrid>
        <w:gridCol w:w="1011"/>
        <w:gridCol w:w="888"/>
        <w:gridCol w:w="890"/>
        <w:gridCol w:w="109"/>
        <w:gridCol w:w="109"/>
        <w:gridCol w:w="109"/>
        <w:gridCol w:w="109"/>
        <w:gridCol w:w="109"/>
        <w:gridCol w:w="109"/>
        <w:gridCol w:w="339"/>
        <w:gridCol w:w="339"/>
        <w:gridCol w:w="342"/>
        <w:gridCol w:w="109"/>
        <w:gridCol w:w="109"/>
        <w:gridCol w:w="109"/>
        <w:gridCol w:w="247"/>
        <w:gridCol w:w="599"/>
        <w:gridCol w:w="128"/>
        <w:gridCol w:w="109"/>
        <w:gridCol w:w="109"/>
        <w:gridCol w:w="109"/>
        <w:gridCol w:w="258"/>
        <w:gridCol w:w="496"/>
        <w:gridCol w:w="490"/>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Fair</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 of</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Shares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Vested</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90"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    The number of PSUs outstanding represent the total number of PSUs granted to each recipient eligible to vest if the Company meets its highest specified performance goals for the applicable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costs as reported by award type (in millions):</w:t>
      </w:r>
    </w:p>
    <w:tbl>
      <w:tblPr>
        <w:tblW w:w="7619" w:type="dxa"/>
        <w:jc w:val="left"/>
        <w:tblInd w:w="0" w:type="dxa"/>
        <w:tblLayout w:type="fixed"/>
        <w:tblCellMar>
          <w:top w:w="28" w:type="dxa"/>
          <w:left w:w="28" w:type="dxa"/>
          <w:bottom w:w="28" w:type="dxa"/>
          <w:right w:w="28" w:type="dxa"/>
        </w:tblCellMar>
      </w:tblPr>
      <w:tblGrid>
        <w:gridCol w:w="1180"/>
        <w:gridCol w:w="1038"/>
        <w:gridCol w:w="105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stock-based compensation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costs, net of amounts capitalized, as reported on the Company’s consolidated statement of comprehensive income (in millions):</w:t>
      </w:r>
    </w:p>
    <w:tbl>
      <w:tblPr>
        <w:tblW w:w="9915" w:type="dxa"/>
        <w:jc w:val="left"/>
        <w:tblInd w:w="0" w:type="dxa"/>
        <w:tblLayout w:type="fixed"/>
        <w:tblCellMar>
          <w:top w:w="28" w:type="dxa"/>
          <w:left w:w="28" w:type="dxa"/>
          <w:bottom w:w="28" w:type="dxa"/>
          <w:right w:w="28" w:type="dxa"/>
        </w:tblCellMar>
      </w:tblPr>
      <w:tblGrid>
        <w:gridCol w:w="2018"/>
        <w:gridCol w:w="1769"/>
        <w:gridCol w:w="1778"/>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201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stock-based compensation costs, net of amounts capitalized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capitalized stock-based compensation of $0.1 million and $0.2 million during the three months ended June 30, 2026 and 2025, respectively, and $0.2 million and $0.5 million during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total unrecognized stock-based compensation expenses related to stock options, RSUs and PSUs was approximately $0.1 million, $77.1 million and $10.6 million, respectively. The expense related to stock options, RSUs and PSUs are expected to be recognized over a weighted average period of 0.6 years, 2.2 years and 1.3 years,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swap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2023, the Company entered into two interest rate swap agreements, each with a notional value of $250 million. Each of these swap agreements requires the Company to pay a fixed interest rate of 3.435% in exchange for receiving one-month LIBOR for six months and one-month Term Secured Overnight Financing Rate (“SOFR”) afterwards. The interest rate swap agreements settle monthly commencing in February 2023 through their termination dates on February 28, 2028.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the Company entered into an additional interest rate swap agreement to replace two interest rate swap agreements that matured on April 30, 2026. The new interest rate swap agreement has a notional value of $500 million. Under the agreement the Company pays a fixed interest rate of 3.709% in exchange for receiving one-month Term SOFR. The new interest rate swap agreement settles monthly commencing in May 2026 through its termination date on February 28, 2027.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interest rate swap agreements is derived from a discounted cash flow analysis.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aggregate fair value of the Company’s interest rate swap agreements was a net asset of $5.0 million as of June 30, 2026, and was recorded in the accompanying consolidated balance sheets based upon the timing of the underlying expected cash flows in amounts detailed in </w:t>
      </w:r>
      <w:r>
        <w:rPr>
          <w:rFonts w:ascii="Times New Roman;serif" w:hAnsi="Times New Roman;serif"/>
          <w:b w:val="false"/>
          <w:i/>
          <w:color w:val="000000"/>
          <w:sz w:val="20"/>
        </w:rPr>
        <w:t>Note 7, Fair Value Measurements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currency hedge agreements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At June 30, 2026, the Company had outstanding derivative contracts to purchase certain foreign currencies, including EUR, ILS, RON, and PLN at future dates. The amount of future salary expenses the Company had hedged was approximately $253.3 million, and all contracts are expected to mature during the upcoming 12 months. The aggregate fair value of the Company’s derivative contracts was a net asset of $5.7 million as of June 30, 2026 and was recorded in the accompanying consolidated balance sheets in amounts detailed in </w:t>
      </w:r>
      <w:r>
        <w:rPr>
          <w:rFonts w:ascii="Times New Roman;serif" w:hAnsi="Times New Roman;serif"/>
          <w:b w:val="false"/>
          <w:i/>
          <w:color w:val="000000"/>
          <w:sz w:val="20"/>
        </w:rPr>
        <w:t>Note 7, Fair Value Measurements</w:t>
      </w:r>
      <w:r>
        <w:rPr>
          <w:rFonts w:ascii="Times New Roman;serif" w:hAnsi="Times New Roman;serif"/>
          <w:b w:val="false"/>
          <w:color w:val="000000"/>
          <w:sz w:val="2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volume of derivative instrument activity (in millions):</w:t>
      </w:r>
    </w:p>
    <w:tbl>
      <w:tblPr>
        <w:tblW w:w="9555" w:type="dxa"/>
        <w:jc w:val="left"/>
        <w:tblInd w:w="0" w:type="dxa"/>
        <w:tblLayout w:type="fixed"/>
        <w:tblCellMar>
          <w:top w:w="28" w:type="dxa"/>
          <w:left w:w="28" w:type="dxa"/>
          <w:bottom w:w="28" w:type="dxa"/>
          <w:right w:w="28" w:type="dxa"/>
        </w:tblCellMar>
      </w:tblPr>
      <w:tblGrid>
        <w:gridCol w:w="1847"/>
        <w:gridCol w:w="1622"/>
        <w:gridCol w:w="1631"/>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foreign currency derivative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interest rate swaps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others (non-hedging)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fair value in accordance with ASC 820.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three-tier hierarchy, which prioritizes the inputs used in measuring fair value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 Quoted prices in active markets for identical assets or liabilities.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Company’s long-term debt for disclosure purposes (in millions):</w:t>
      </w:r>
    </w:p>
    <w:tbl>
      <w:tblPr>
        <w:tblW w:w="5751" w:type="dxa"/>
        <w:jc w:val="left"/>
        <w:tblInd w:w="0" w:type="dxa"/>
        <w:tblLayout w:type="fixed"/>
        <w:tblCellMar>
          <w:top w:w="28" w:type="dxa"/>
          <w:left w:w="28" w:type="dxa"/>
          <w:bottom w:w="28" w:type="dxa"/>
          <w:right w:w="28" w:type="dxa"/>
        </w:tblCellMar>
      </w:tblPr>
      <w:tblGrid>
        <w:gridCol w:w="419"/>
        <w:gridCol w:w="367"/>
        <w:gridCol w:w="369"/>
        <w:gridCol w:w="211"/>
        <w:gridCol w:w="766"/>
        <w:gridCol w:w="109"/>
        <w:gridCol w:w="109"/>
        <w:gridCol w:w="109"/>
        <w:gridCol w:w="109"/>
        <w:gridCol w:w="211"/>
        <w:gridCol w:w="766"/>
        <w:gridCol w:w="109"/>
        <w:gridCol w:w="109"/>
        <w:gridCol w:w="109"/>
        <w:gridCol w:w="109"/>
        <w:gridCol w:w="518"/>
        <w:gridCol w:w="518"/>
        <w:gridCol w:w="73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751" w:type="dxa"/>
        <w:jc w:val="left"/>
        <w:tblInd w:w="0" w:type="dxa"/>
        <w:tblLayout w:type="fixed"/>
        <w:tblCellMar>
          <w:top w:w="28" w:type="dxa"/>
          <w:left w:w="28" w:type="dxa"/>
          <w:bottom w:w="28" w:type="dxa"/>
          <w:right w:w="28" w:type="dxa"/>
        </w:tblCellMar>
      </w:tblPr>
      <w:tblGrid>
        <w:gridCol w:w="419"/>
        <w:gridCol w:w="367"/>
        <w:gridCol w:w="369"/>
        <w:gridCol w:w="211"/>
        <w:gridCol w:w="766"/>
        <w:gridCol w:w="109"/>
        <w:gridCol w:w="109"/>
        <w:gridCol w:w="109"/>
        <w:gridCol w:w="109"/>
        <w:gridCol w:w="211"/>
        <w:gridCol w:w="766"/>
        <w:gridCol w:w="109"/>
        <w:gridCol w:w="109"/>
        <w:gridCol w:w="109"/>
        <w:gridCol w:w="109"/>
        <w:gridCol w:w="518"/>
        <w:gridCol w:w="518"/>
        <w:gridCol w:w="73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term loan is based upon the prices at which the Company’s debt traded in the days immediately preceding the balance sheet date. As the trading volume of the Company’s debt is low relative to the overall debt balance, the Company does not believe that the associated transactions represent an active market, and therefore this indication of value represents a level 2 fair value input.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assets and liabilities measured at fair value on a recurring basis in the Company’s consolidated balance sheets at June 30, 2026 and December 31, 2025 (in millions):</w:t>
      </w:r>
    </w:p>
    <w:tbl>
      <w:tblPr>
        <w:tblW w:w="10205" w:type="dxa"/>
        <w:jc w:val="left"/>
        <w:tblInd w:w="0" w:type="dxa"/>
        <w:tblLayout w:type="fixed"/>
        <w:tblCellMar>
          <w:top w:w="28" w:type="dxa"/>
          <w:left w:w="28" w:type="dxa"/>
          <w:bottom w:w="28" w:type="dxa"/>
          <w:right w:w="28" w:type="dxa"/>
        </w:tblCellMar>
      </w:tblPr>
      <w:tblGrid>
        <w:gridCol w:w="1808"/>
        <w:gridCol w:w="1582"/>
        <w:gridCol w:w="1595"/>
        <w:gridCol w:w="109"/>
        <w:gridCol w:w="109"/>
        <w:gridCol w:w="109"/>
        <w:gridCol w:w="109"/>
        <w:gridCol w:w="545"/>
        <w:gridCol w:w="545"/>
        <w:gridCol w:w="547"/>
        <w:gridCol w:w="109"/>
        <w:gridCol w:w="109"/>
        <w:gridCol w:w="109"/>
        <w:gridCol w:w="211"/>
        <w:gridCol w:w="616"/>
        <w:gridCol w:w="109"/>
        <w:gridCol w:w="109"/>
        <w:gridCol w:w="109"/>
        <w:gridCol w:w="109"/>
        <w:gridCol w:w="266"/>
        <w:gridCol w:w="779"/>
        <w:gridCol w:w="512"/>
      </w:tblGrid>
      <w:tr>
        <w:trPr/>
        <w:tc>
          <w:tcPr>
            <w:tcW w:w="180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at</w:t>
            </w:r>
          </w:p>
        </w:tc>
        <w:tc>
          <w:tcPr>
            <w:tcW w:w="1884" w:type="dxa"/>
            <w:gridSpan w:val="6"/>
            <w:tcBorders/>
          </w:tcPr>
          <w:p>
            <w:pPr>
              <w:pStyle w:val="TableContents"/>
              <w:bidi w:val="0"/>
              <w:spacing w:before="0" w:after="283"/>
              <w:jc w:val="left"/>
              <w:rPr>
                <w:sz w:val="4"/>
                <w:szCs w:val="4"/>
              </w:rPr>
            </w:pPr>
            <w:r>
              <w:rPr>
                <w:sz w:val="4"/>
                <w:szCs w:val="4"/>
              </w:rPr>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51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51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1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foreign exchange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Accrued expenses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foreign exchange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Other long-term liabilities, including employee related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Represents an amount less than $0.1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of accounts receivable, accounts payables, restricted cash, and the majority of cash equivalents approximates fair value due to the short time to expected payment or receipt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classifies its short term investments, derivative financial instruments and some cash equivalents within Level 2 because they are valued using inputs other than quoted prices which are directly or indirectly observable in the market, including readily-available pricing sources for the identical underlying security which may not be actively traded.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contingent consideration payable was valued using significant unobservable inputs (Level 3), was included in the general and administrative expenses in the Company’s consolidated statements of comprehensive income and consisted of the following (in millions): </w:t>
      </w:r>
    </w:p>
    <w:p>
      <w:pPr>
        <w:pStyle w:val="TextBody"/>
        <w:bidi w:val="0"/>
        <w:spacing w:before="0" w:after="0"/>
        <w:jc w:val="both"/>
        <w:rPr/>
      </w:pPr>
      <w:r>
        <w:rPr/>
      </w:r>
    </w:p>
    <w:tbl>
      <w:tblPr>
        <w:tblW w:w="7955" w:type="dxa"/>
        <w:jc w:val="left"/>
        <w:tblInd w:w="0" w:type="dxa"/>
        <w:tblLayout w:type="fixed"/>
        <w:tblCellMar>
          <w:top w:w="28" w:type="dxa"/>
          <w:left w:w="28" w:type="dxa"/>
          <w:bottom w:w="28" w:type="dxa"/>
          <w:right w:w="28" w:type="dxa"/>
        </w:tblCellMar>
      </w:tblPr>
      <w:tblGrid>
        <w:gridCol w:w="2521"/>
        <w:gridCol w:w="2223"/>
        <w:gridCol w:w="2230"/>
        <w:gridCol w:w="211"/>
        <w:gridCol w:w="616"/>
        <w:gridCol w:w="154"/>
      </w:tblGrid>
      <w:tr>
        <w:trPr/>
        <w:tc>
          <w:tcPr>
            <w:tcW w:w="2521"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payment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based upon post-acquisition performance and passage of time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as of June 30, 2026</w:t>
            </w:r>
            <w:r>
              <w:rPr>
                <w:color w:val="000000"/>
              </w:rPr>
              <w:t xml:space="preserve"> </w:t>
            </w:r>
            <w:r>
              <w:rPr>
                <w:rFonts w:ascii="Times New Roman;serif" w:hAnsi="Times New Roman;serif"/>
                <w:b/>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16"/>
        </w:rPr>
        <w:t>Amount comprised of $370.0 million for SuperPlay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SuperPlay earnout amount and eligibility is contingent on both SuperPlay revenue performance and SuperPlay Adjusted EBITDA metrics. The Company estimated the fair value of its SuperPlay contingent consideration liability using a Monte Carlo simulation to model components of cash flow analyses. The significant assumptions used in the SuperPlay model include revenue volatility of 10%, discount rate of 12.3% and a risk free rate of 4.9%. These fair value measurements are based on significant inputs not observable in the market and thus represent Level 3 measurements as defined in ASC 820. The extent to which the actual results differ from assumptions made within the simulation and analyses, along with adjustments resulting from the passage of time, will result in changes in these liabilities in future periods. Based on certain gross revenue growth and Adjusted EBITDA metrics of SuperPlay during the calendar year 2026, earnout payments could exceed currently estimated amounts.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not elected the fair value measurement option under ASC 825 for any financial assets or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13, 2023, plaintiff Gina Burt filed a lawsuit against the Company and its subsidiary, Playtika Ltd., in the Circuit Court of Coffee County, Tennessee, alleging that the Company’s social casino-themed games are unlawful gambling under Tennessee law. The lawsuit seeks to recover all amounts paid by Tennessee residents to the Company in connection with its games during the period beginning one year before the filing of the lawsuit until the case is resolved but excluding any residents who spent $75,000 or more during such time period. The plaintiff filed an amended complaint on August 28, 2025, adding several individual plaintiffs. The Company removed the case to federal court on September 29, 2025. On January 12, 2026, Plaintiffs voluntarily dismissed claims by plaintiffs Gina Burt, Don Burt and Jamie Trimble, proceeding with Hunter Trimble as the sole named plaintiff. In response to a joint motion of the parties, on January 28, 2026, the court entered an order compelling arbitration of plaintiff’s claims. Plaintiff filed an arbitration demand on March 20, 2026. The parties are in the midst of opening briefing on certain threshold issues. That briefing is scheduled to be completed on September 4, 2026, with argument thereafter. As the case is in preliminary stages, the Company cannot estimate what impact, if any, the litigation may have on its results of operations, financial condition or cash flows. The Company intends to defend this case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8, 2023, plaintiff Gayla Hamilton Mills filed a lawsuit against the Company and its subsidiary, Playtika Ltd., in the Circuit Court of Franklin County, Alabama, alleging that the Company’s social casino-themed games are unlawful gambling under Alabama law. The lawsuit seeks to recover all amounts paid by Alabama residents to the Company in connection with its games during the period beginning one year before the filing of the lawsuit until the case is resolved. After the Company removed the case to the U.S. District Court for the Northern District of Alabama, plaintiff dismissed the complaint and filed a very similar new complaint in the Circuit Court of Franklin County, Alabama on August 25, 2023. The new complaint asserted the same cause of action and bases for relief, but limited the requested recovery to the amounts paid to the Company in connection with its games only by those Alabama residents who spent less than $75,000 during the one year before the filing of the lawsuit until the case is resolved. The court ordered arbitration and stayed the case on August 20, 2025. The arbitrator held a hearing on preliminary issues on June 30, 2026. The parties are now filing post-hearing supplemental briefs. The Company cannot estimate what impact, if any, the litigation may have on its results of operations, financial condition or cash flows at this stage. The Company intends to defend this case vigorously.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6, 2025, plaintiff Stuart Mills filed a putative class action lawsuit against the Company and its subsidiary, Playtika Ltd., on behalf of all Alabama-based players of the Company’s games in the Circuit Court of Franklin County, Alabama. The suit, like the suit brought by Gayla Hamilton Mills, alleges that the Company’s casino-themed social games are unlawful gambling under Alabama law. The lawsuit seeks to recover all amounts paid by Alabama residents to the Company in connection with its games during the period beginning one year before the filing of the lawsuit until the case is resolved. The suit was filed by the same counsel who represent Gayla Hamilton Mills. The Company removed the case to the U.S. District Court for the Northern District of Alabama on July 11, 2025. Plaintiff’s motion to remand to state court was filed on August 11, 2025. The court denied the motion to remand and compelled the parties to arbitration on January 20, 2026. Plaintiff filed a petition seeking permission for interlocutory review by the Eleventh Circuit U.S. Court of Appeals of the denial of his motion to remand on January 30, 2026. The court denied the petition on February 19, 2026 and plaintiff filed an arbitration demand on March 11, 2026. The parties are scheduled to submit briefs on certain preliminary issues over the next few months, with a hearing on those issues anticipated for December 2026. As the case is in preliminary stages, the Company cannot estimate what impact, if any, the litigation may have on its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22, 2024, plaintiff Dianne Fuqua filed a lawsuit against the Company and its subsidiary, Playtika Ltd., in the District Court for the Western District of Kentucky, alleging that the Company’s casino-themed social games are unlawful gambling under Kentucky law. The lawsuit sought to recover three times the amount paid by Kentucky residents to the Company from its games during the period from August 2019 through June 2023 plus interest, costs and any other relief to which plaintiff is entitled to. On November 21, 2025, the court on its own initiative ordered both parties to submit briefs addressing whether plaintiff possesses Article III (constitutional) standing for purposes of jurisdiction in federal court. The parties submitted simultaneous briefs on December 22, 2025, in response to that order. On March 26, 2026, the court dismissed the case for lack of subject-matter jurisdiction. On April 24, 2026, plaintiff filed a notice of appeal with the Sixth Circuit U.S. Court of Appeals. The plaintiff voluntarily dismissed the appeal on June 12,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2025, plaintiff Andrew Wright filed a putative class action lawsuit against the Company and its subsidiary, Playtika Ltd., in the U.S. District Court for the District of Utah, alleging that the Company’s social casino-themed games are unlawful gambling under Utah law. The lawsuit seeks to recover twice the amount of economic losses suffered by Utah residents to the Company in connection with its social casino-themed games plus interest and attorneys’ fees. The Company filed a motion to compel arbitration on February 17, 2026. On April 15, 2026, the court granted our motion to compel arbitration and stayed the case. The Company filed a status report on July 16, 2026 noting that plaintiff had not filed an arbitration demand. At this stage, the Company cannot estimate what impact, if any, the litigation may have on its results of operations, financial condition or cash flows. The Company intends to defend this case vigorously.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29, 2025, plaintiff William Barbarino filed a putative class action lawsuit against the Company and its subsidiary, Playtika Ltd., in the U.S. District Court for the District of New Jersey, alleging that the Company’s social casino-themed games are unlawful gambling under federal and New Jersey law. The lawsuit seeks to recover up to three times the amount of economic losses suffered by New Jersey residents to the Company in connection with its social casino-themed games plus interest, attorneys’ fees and other relief to which the plaintiff and the putative class may be entitled. The parties filed a joint stipulation and proposed order submitting the claims to arbitration, staying the case and preserving the parties’ positions on January 27, 2026. The plaintiff filed an arbitration demand on April 29, 2026, but no arbitrator has yet been appointed. As the case is in preliminary stages, the Company cannot estimate what impact, if any, the litigation may have on its results of operations, financial condition or cash flows. The Company intends to defend this case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24, 2025, we received a letter from the Attorney General of the State of Washington alleging that our social casino-themed and bingo-themed games violate state gambling and consumer protection laws, and requesting that we pay certain monetary penalties and prevent those games from being available to play in the state in the future. The Attorney General initiated a lawsuit in King County Superior Court in the State of Washington on February 3, 2026, against the Company and several of its subsidiaries asserting those same allegations. The Attorney General is seeking injunctive and declaratory relief, recovery of monies spent by Washington players in the games, civil statutory penalties, costs and fees, and other relief. The Company filed motions to dismiss the complaint for failure to state a claim, to dismiss the Company for lack of personal jurisdiction and to sever the cases against the Company defendants and unrelated defendants on May 18, 2026. The Attorney General filed oppositions to these motions on July 1, 2026. The Company filed replies in support of those motions on July 30, 2026, and a hearing is set for August 7, 2026. As the case is in preliminary stages, the Company cannot estimate what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any, the litigation may have on its results of operations, financial condition or cash flows. The Company intends to defend this case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8, 2025, the Company received pre-arbitration notices from a law firm purporting to represent 3,860 claimants who have played the Company’s games and intend to file arbitration demands alleging that the Company’s social casino-themed games violate state laws against gambling and that the games use false, deceptive and misleading practices. The notice demands the payment of the greater of $5,000 or the actual amount of in-game losses for the claimants, plus punitive and other damages and attorneys’ fees as well as the cessation of the alleged unlawful conduct. On August 5, 2025, we were notified that the law firm was continuing to solicit claimants and that they now represented approximately 4,700 claimants. On November 4, 2025, the law firm filed arbitration demands on behalf of approximately 1,600 claimants. On March 23, 2026, the claimants filed an amended demand naming certain of the Company’s officers as additional respondents. The amended demand alleges that the officers engaged in fraud and racketeering by virtue of their authority over the Company’s games and practices which the claimant alleges violate gambling and consumer protections laws. The parties are currently engaged in briefing certain threshold issues for resolution by a merits arbitrator, with argument on those issues set for October 2026. As of the date hereof, the Company lacks adequate information to assess the nature or validity of these claims. As such, the Company cannot estimate what impact, if any, these claims may have on its results of operations, financial condition or cash flows. The Company intends to defend these claims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10, 2026, the Company received pre-arbitration notices from another law firm purporting to represent 3,133 claimants who have played the Company’s games and intend to file arbitration demands alleging that the Company’s games violate state laws against gambling, that the games use unfair and deceptive practices and that the Company has been unjustly enriched. The notice demands the full restitution of all amounts expended by the claimants, restitution and disgorgement, interest, and other damages and attorneys’ fees. On April 30, 2026, the law firm notified the Company that it was continuing to solicit claimants and that they represented an additional 2,100 claimants. As of the date hereof, the Company lacks adequate information to assess the nature or validity of these claims. As such, the Company cannot estimate what impact, if any, these claims may have on its results of operations, financial condition or cash flows. The Company intends to defend these claims vigorously.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December 8, 2025, Toni Morrow filed a putative class action complaint in the United States District Court for the Western District of Washington against SuperPlay Ltd., relating to the game </w:t>
      </w:r>
      <w:r>
        <w:rPr>
          <w:rFonts w:ascii="Times New Roman;serif" w:hAnsi="Times New Roman;serif"/>
          <w:b w:val="false"/>
          <w:i/>
          <w:color w:val="000000"/>
          <w:sz w:val="20"/>
        </w:rPr>
        <w:t>Dice Dreams</w:t>
      </w:r>
      <w:r>
        <w:rPr>
          <w:rFonts w:ascii="Times New Roman;serif" w:hAnsi="Times New Roman;serif"/>
          <w:b w:val="false"/>
          <w:color w:val="000000"/>
          <w:sz w:val="20"/>
        </w:rPr>
        <w:t>. The complaint alleges, among other things, that the game constitutes unlawful gambling under Washington law and includes unfair and deceptive practices in connection with in-game purchase offers and purported “sales”, and seeks, inter alia, injunctive relief and restitution. SuperPlay Ltd. filed its response to the complaint on April 24, 2026. The plaintiff filed an amended complaint on May 15, 2026 and SuperPlay Ltd. filed a motion to dismiss the complaint on June 29, 2026. Plaintiff’s opposition to the motion to dismiss was filed on July 20, 2026. SuperPlay Ltd.’s reply was filed on July 27, 2026. The matter is in its preliminary stages. Accordingly, the Company cannot estimate what impact, if any, it may have on its results of operations, financial condition or cash flows. The Company intends to defend this matter vigorously.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December 10, 2025, Maor Ben Shushan filed a Motion for Certification of a class action lawsuit in the District Court in Central Lod, Israel, against Playtika Group Israel Ltd. (“PGI”), alleging misrepresentation in connection with in-app purchases offered to Israeli users in U.S. dollars in several Playtika games, including </w:t>
      </w:r>
      <w:r>
        <w:rPr>
          <w:rFonts w:ascii="Times New Roman;serif" w:hAnsi="Times New Roman;serif"/>
          <w:b w:val="false"/>
          <w:i/>
          <w:color w:val="000000"/>
          <w:sz w:val="20"/>
        </w:rPr>
        <w:t>Slotomania, House of Fun, Caesars Slots</w:t>
      </w:r>
      <w:r>
        <w:rPr>
          <w:rFonts w:ascii="Times New Roman;serif" w:hAnsi="Times New Roman;serif"/>
          <w:b w:val="false"/>
          <w:color w:val="000000"/>
          <w:sz w:val="20"/>
        </w:rPr>
        <w:t>, and others, resulting in higher final charges due to allegedly undisclosed foreign currency conversion rates and related fees. The lawsuit seeks NIS 18,357 in personal damages to the petitioner and approximately NIS 28 million in damages to the tentative class or approximately USD $8.8 million, using the exchange rate of NIS 3.19: USD $1.00, which was the exchange rate in effect on December 31, 2025. On July 16, 2026, PGI filed its response to the Motion for Certification. A pre-trial hearing is scheduled for September 9, 2026. As this litigation matter is in preliminary stages, the Company cannot estimate what impact, if any, they may have on its results of operations, financial condition or cash flows. The Company intends to defend these claims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5, 2026, Daniela Beninati filed a putative class action in the Federal Court of Australia (Victoria Registry) against the Company, alleging that certain of our social casino-themed games constitute unlawful interactive gambling services under the Australian Interactive Gambling Act 2001 (Cth), and that the Company engaged in misleading or deceptive conduct and unconscionable conduct in violation of the Australian Consumer Law in connection with the marketing and monetization of such games. The complaint seeks, inter alia, declaratory and injunctive relief, restitution of amounts paid for in-game virtual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currency by Australian-based users, damages, interest and costs. On March 26, 2026 the Company filed a motion to compel arbitration and stay the lawsuit. An interlocutory hearing has been scheduled for September 24, 2026. The matter is in its preliminary stages. Accordingly, the Company cannot estimate what impact, if any, it may have on its results of operations, financial condition or cash flows. The Company intends to defend this matter vigorously.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March 6, 2026, Crystiauna McLallen filed a putative class action complaint in the United States District Court for the Eastern District of Washington against SuperPlay Ltd., relating to its games, including </w:t>
      </w:r>
      <w:r>
        <w:rPr>
          <w:rFonts w:ascii="Times New Roman;serif" w:hAnsi="Times New Roman;serif"/>
          <w:b w:val="false"/>
          <w:i/>
          <w:color w:val="000000"/>
          <w:sz w:val="20"/>
        </w:rPr>
        <w:t xml:space="preserve">Dice Dreams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Domino Dreams</w:t>
      </w:r>
      <w:r>
        <w:rPr>
          <w:rFonts w:ascii="Times New Roman;serif" w:hAnsi="Times New Roman;serif"/>
          <w:b w:val="false"/>
          <w:color w:val="000000"/>
          <w:sz w:val="20"/>
        </w:rPr>
        <w:t>. The complaint alleges, among other things, that the games constitute unlawful gambling under Washington law and violate state consumer protection laws, and seeks, inter alia, injunctive relief and restitution on behalf of a class of Washington residents who made purchases in the games. Per agreement of the parties, Superplay Ltd.’s response to the complaint is due on August 7, 2026. The matter is in its preliminary stages. Accordingly, the Company cannot estimate what impact, if any, it may have on its results of operations, financial condition or cash flows. The Company intends to defend this matter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2024, the Tel Aviv 3 Tax Office (the “ITA”) issued an assessment order (the “2017 Assessment Order”) to Playtika Ltd. for tax year 2017 alleging that Playtika Ltd. should have applied a higher tax rate to certain income and denying certain tax credits. The 2017 Assessment Order claimed that, as of March 26, 2024, Playtika Ltd. was obliged to pay additional taxes (including interest and CPI linkage) for tax year 2017 in the amount of approximately NIS 72.9 million. On April 14, 2024, Playtika Ltd. filed a notice of appeal in the Tel Aviv District Court challenging the 2017 Assessment Order. On May 15, 2024, the ITA filed its statement of assessment grounds, and on December 1, 2024, Playtika Ltd. filed its statement of appeal grounds. On June 12, 2025, the ITA issued an assessment order (the “2018 Assessment Order”) for tax year 2018 in which it repeated similar arguments to those raised in the 2017 Assessment Order and also disallowed certain aircraft-related business expenses. The 2018 Assessment Order claimed that, as of June 12, 2025, Playtika Ltd. was obliged to pay additional taxes (including interest and CPI linkage) for tax year 2018 in the amount of approximately NIS 85.8 million. On June 26, 2025, Playtika Ltd. filed a notice of appeal and a case was opened in the Tel Aviv District Court. On July 14, 2025, the ITA filed its statement of assessment grounds, and on September 29, 2025, Playtika Ltd. filed its statement of appeal grounds. On December 14, 2025, the cases relating to the 2017 Assessment Order and 2018 Assessment Order were consolidated and a preliminary hearing occurred. At the preliminary hearing, the Court determined that, in light of the expected imminent issuance of assessment orders for additional years, the deadlines for filing affidavits and the evidentiary hearing date for witness examinations would be set after the arguments are filed in connection with the additional assessment orders for tax years 2019-2021. In this hearing, the ITA informed the Court that it was rescinding its claims disallowing the aircraft-related business expenses. On December 11, 2025, the ITA issued an assessment order (the “2019-2021 Assessment Order”) to Playtika Ltd. for tax years 2019-2021. In that order, the ITA repeated similar arguments to those raised in the 2017 Assessment Order and the 2018 Assessment Order and also denied foreign tax credits in the amount of approximately NIS 19 million for tax years 2019-2021. In addition, in the 2019-2021 Assessment Order, the ITA alleged that the interest rate set for intercompany loans Playtika Ltd. provided should have been higher under transfer pricing principles. The ITA also claimed a “secondary adjustment” in the form of interest on a deemed debt balance in favor of Playtika Ltd., due to the additional deemed income owed to Playtika Ltd. per the ITA’s claims. The 2019-2021 Assessment Order claimed that, as of December 11, 2025, Playtika Ltd. was obliged to pay additional taxes (including interest and CPI linkage) for tax years 2019-2021 in the amount of approximately NIS 312.9 million. On December 31, 2025, Playtika Ltd.filed a notice of appeal regarding the 2019-2021 Assessment Order and a case was opened in the Tel Aviv District Court. On January 28, 2026, the ITA filed its statement of assessment grounds. On April 22, 2026, the court approved the consolidation of all of the cases relating to the assessment orders described above. Playtika Ltd. filed its appeal arguments on July 21, 2026. The total amount of the assessments under the 2017 Assessment Order, the 2018 Assessment Order and the 2019-2021 Assessment Order was approximately USD $159 million as of the respective dates of the assessment orders, using the exchange rate of NIS 2.98 : USD $1.00, which was the exchange rate in effect on June 30, 2026. This amount remains subject to continued accrual interest and linkage of the Israeli CPI until paid. The Company intends to pursue this case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 2026, the Company received notice from Amazon.com Inc. (“Amazon”) of an impending class settlement in a putative class action brought against Amazon by Steven Horn, an individual resident of Washington, in the United States District Court for the Western District of Washington. The case seeks damages from Amazon for its facilitation of slot, bingo and poker-themed apps on its platform which allegedly violated Washington gambling law and Washington consumer protection laws, on behalf of a nationwide class of consumers who made purchases in those apps. The settlement, which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filed with the court on July 9, 2026, would entitle the class to recover 30 percent of all payments made by members of the class on the Amazon platform. As part of the settlement, Amazon would assign its contractual indemnification rights against the Company to a trust established for the benefit of the settlement class. The trust then would seek to enforce the judgment against the Company. The proposed settlement assigns a share of the judgment to the Company’s subsidiaries of approximately $51 million in the aggregate. The Company, along with other developers, filed a joint motion to intervene on July 22, 2026 to oppose the proposed settlement and intends to defend this matter vigorously.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by geographic location of the Company’s players and type of platform (in millions):</w:t>
      </w:r>
    </w:p>
    <w:tbl>
      <w:tblPr>
        <w:tblW w:w="6929" w:type="dxa"/>
        <w:jc w:val="left"/>
        <w:tblInd w:w="0" w:type="dxa"/>
        <w:tblLayout w:type="fixed"/>
        <w:tblCellMar>
          <w:top w:w="28" w:type="dxa"/>
          <w:left w:w="28" w:type="dxa"/>
          <w:bottom w:w="28" w:type="dxa"/>
          <w:right w:w="28" w:type="dxa"/>
        </w:tblCellMar>
      </w:tblPr>
      <w:tblGrid>
        <w:gridCol w:w="674"/>
        <w:gridCol w:w="591"/>
        <w:gridCol w:w="594"/>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color w:val="000000"/>
                <w:sz w:val="20"/>
              </w:rPr>
            </w:pPr>
            <w:r>
              <w:rPr>
                <w:rFonts w:ascii="Times New Roman;serif" w:hAnsi="Times New Roman;serif"/>
                <w:b/>
                <w:color w:val="000000"/>
                <w:sz w:val="20"/>
              </w:rPr>
              <w:t>Geographic location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1,402.0 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through third-party platforms and through the Company’s own direct-to-consumer platforms were as follows (in millions):</w:t>
      </w:r>
    </w:p>
    <w:tbl>
      <w:tblPr>
        <w:tblW w:w="7559" w:type="dxa"/>
        <w:jc w:val="left"/>
        <w:tblInd w:w="0" w:type="dxa"/>
        <w:tblLayout w:type="fixed"/>
        <w:tblCellMar>
          <w:top w:w="28" w:type="dxa"/>
          <w:left w:w="28" w:type="dxa"/>
          <w:bottom w:w="28" w:type="dxa"/>
          <w:right w:w="28" w:type="dxa"/>
        </w:tblCellMar>
      </w:tblPr>
      <w:tblGrid>
        <w:gridCol w:w="903"/>
        <w:gridCol w:w="791"/>
        <w:gridCol w:w="795"/>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90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platforms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platforms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1,402.0 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Times New Roman;serif" w:hAnsi="Times New Roman;serif"/>
          <w:b/>
          <w:i/>
          <w:color w:val="000000"/>
          <w:sz w:val="20"/>
        </w:rPr>
        <w:t>Contract balances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Payments from players for virtual items are collected by platform providers or payment processors and remitted to the Company (net of the platform or clearing fees) generally within 30 days after the player transaction. The Company’s right to receive the payments collected by the platform providers or payment processors is recorded as an accounts receivable as the right to receive payment is unconditional. Deferred revenues, which represent a contract liability, represent mostly unrecognized fees billed for virtual items which have not yet been consumed at the balance sheet date. Platform fees paid to platform providers or payment processors and associated with deferred revenues represent a contract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Balances of the Company’s contract assets and liabilities are as follows (in millions): </w:t>
      </w:r>
    </w:p>
    <w:tbl>
      <w:tblPr>
        <w:tblW w:w="4308" w:type="dxa"/>
        <w:jc w:val="left"/>
        <w:tblInd w:w="0" w:type="dxa"/>
        <w:tblLayout w:type="fixed"/>
        <w:tblCellMar>
          <w:top w:w="28" w:type="dxa"/>
          <w:left w:w="28" w:type="dxa"/>
          <w:bottom w:w="28" w:type="dxa"/>
          <w:right w:w="28" w:type="dxa"/>
        </w:tblCellMar>
      </w:tblPr>
      <w:tblGrid>
        <w:gridCol w:w="674"/>
        <w:gridCol w:w="592"/>
        <w:gridCol w:w="594"/>
        <w:gridCol w:w="211"/>
        <w:gridCol w:w="616"/>
        <w:gridCol w:w="109"/>
        <w:gridCol w:w="109"/>
        <w:gridCol w:w="109"/>
        <w:gridCol w:w="109"/>
        <w:gridCol w:w="255"/>
        <w:gridCol w:w="744"/>
        <w:gridCol w:w="18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assets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liabilities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Contract assets are included within prepaid expenses and other current assets in the Company’s consolidated balance sheets.</w:t>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Contract liabilities are included within accrued expenses and other current liabilities as “deferred revenues” in the Company’s consolidated balance sheets.</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three and six months ended June 30, 2026, the Company recognized $4.3 million and $26.7 million, respectively, of its contract liabilities that were outstanding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Unsatisfied performance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unsatisfied performance obligations relate to contracts with an original expected length of one year or less.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SEGMENT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operates its business as one operating segment and one reportable segment. The Company has identified its Chief Executive Officer as its Chief Operating Decision Maker (“CODM”). The CODM uses revenues and net income for purposes of assessing performance and deciding how to allocate resources. In addition to revenues and net income, the following significant expense categories and amounts are regularly provided to the CODM for use when allocating resources: interest expense (as disclosed in </w:t>
      </w:r>
      <w:r>
        <w:rPr>
          <w:rFonts w:ascii="Times New Roman;serif" w:hAnsi="Times New Roman;serif"/>
          <w:b w:val="false"/>
          <w:i/>
          <w:color w:val="000000"/>
          <w:sz w:val="20"/>
        </w:rPr>
        <w:t xml:space="preserve">Note 11, Interest and Other, Net,) </w:t>
      </w:r>
      <w:r>
        <w:rPr>
          <w:rFonts w:ascii="Times New Roman;serif" w:hAnsi="Times New Roman;serif"/>
          <w:b w:val="false"/>
          <w:color w:val="000000"/>
          <w:sz w:val="20"/>
        </w:rPr>
        <w:t>and advertising expense, which was $221.6 million and $207.1 million for the three months ended June 30, 2026 and 2025, respectively and was $553.5 million and $431.5 million for the six months ended June 30, 2026 and 2025, respectively. Asset information as presented on the consolidated balance sheets is provided to the CODM.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long-lived assets, net, by country of domicile are as follows (in millions):</w:t>
      </w:r>
    </w:p>
    <w:tbl>
      <w:tblPr>
        <w:tblW w:w="4802" w:type="dxa"/>
        <w:jc w:val="left"/>
        <w:tblInd w:w="0" w:type="dxa"/>
        <w:tblLayout w:type="fixed"/>
        <w:tblCellMar>
          <w:top w:w="28" w:type="dxa"/>
          <w:left w:w="28" w:type="dxa"/>
          <w:bottom w:w="28" w:type="dxa"/>
          <w:right w:w="28" w:type="dxa"/>
        </w:tblCellMar>
      </w:tblPr>
      <w:tblGrid>
        <w:gridCol w:w="849"/>
        <w:gridCol w:w="748"/>
        <w:gridCol w:w="757"/>
        <w:gridCol w:w="211"/>
        <w:gridCol w:w="616"/>
        <w:gridCol w:w="109"/>
        <w:gridCol w:w="109"/>
        <w:gridCol w:w="109"/>
        <w:gridCol w:w="109"/>
        <w:gridCol w:w="255"/>
        <w:gridCol w:w="744"/>
        <w:gridCol w:w="186"/>
      </w:tblGrid>
      <w:tr>
        <w:trPr/>
        <w:tc>
          <w:tcPr>
            <w:tcW w:w="84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Ukraine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long-lived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INTEREST AND OTHER,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and other, net are as follows (in millions):</w:t>
      </w:r>
    </w:p>
    <w:tbl>
      <w:tblPr>
        <w:tblW w:w="8039" w:type="dxa"/>
        <w:jc w:val="left"/>
        <w:tblInd w:w="0" w:type="dxa"/>
        <w:tblLayout w:type="fixed"/>
        <w:tblCellMar>
          <w:top w:w="28" w:type="dxa"/>
          <w:left w:w="28" w:type="dxa"/>
          <w:bottom w:w="28" w:type="dxa"/>
          <w:right w:w="28" w:type="dxa"/>
        </w:tblCellMar>
      </w:tblPr>
      <w:tblGrid>
        <w:gridCol w:w="1337"/>
        <w:gridCol w:w="1171"/>
        <w:gridCol w:w="118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differences,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and other,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before="0" w:after="0"/>
        <w:jc w:val="both"/>
        <w:rPr/>
      </w:pPr>
      <w:r>
        <w:rPr/>
      </w:r>
    </w:p>
    <w:tbl>
      <w:tblPr>
        <w:tblW w:w="7353" w:type="dxa"/>
        <w:jc w:val="left"/>
        <w:tblInd w:w="0" w:type="dxa"/>
        <w:tblLayout w:type="fixed"/>
        <w:tblCellMar>
          <w:top w:w="28" w:type="dxa"/>
          <w:left w:w="28" w:type="dxa"/>
          <w:bottom w:w="28" w:type="dxa"/>
          <w:right w:w="28" w:type="dxa"/>
        </w:tblCellMar>
      </w:tblPr>
      <w:tblGrid>
        <w:gridCol w:w="864"/>
        <w:gridCol w:w="759"/>
        <w:gridCol w:w="762"/>
        <w:gridCol w:w="211"/>
        <w:gridCol w:w="511"/>
        <w:gridCol w:w="271"/>
        <w:gridCol w:w="109"/>
        <w:gridCol w:w="109"/>
        <w:gridCol w:w="109"/>
        <w:gridCol w:w="211"/>
        <w:gridCol w:w="511"/>
        <w:gridCol w:w="271"/>
        <w:gridCol w:w="109"/>
        <w:gridCol w:w="109"/>
        <w:gridCol w:w="109"/>
        <w:gridCol w:w="211"/>
        <w:gridCol w:w="481"/>
        <w:gridCol w:w="271"/>
        <w:gridCol w:w="109"/>
        <w:gridCol w:w="109"/>
        <w:gridCol w:w="109"/>
        <w:gridCol w:w="211"/>
        <w:gridCol w:w="511"/>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millions, except tax rate)</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were determined using a worldwide estimated annual effective tax rate and took discrete items into consideration. The difference between the effective tax rate and the 21% U.S. federal statutory rate for the six months ended June 30, 2026 was primarily due to impacts of tax positions that do not meet the more likely than not standard. The difference between the effective tax rate and the 21% U.S. federal statutory rate for the six months ended June 30, 2025 was primarily due to the inclusion of Global Intangible Low-Taxed Income, tax rates in foreign jurisdictions, state income taxes, and changes in valuation allowances, partially offset by a favorable impact of tax positions that do not meet the more likely than not standard.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31, 2026, the Israeli Knesset enacted Chapter J, the Law for the Encouragement and Incentivization of Research and Development (the “R&amp;D Law”). The R&amp;D Law introduces a refundable tax credit regime for qualifying research and development expenditures incurred in Israel. The R&amp;D Law applies to qualifying R&amp;D expenditures incurred beginning in the 2026 tax year and allows eligible companies, subject to meeting certain conditions, to offset Israeli income taxes or Israeli qualified domestic minimum top up tax (“QDMTT”), or alternatively to receive a government grant if the credit is not utilized. For the six months ended June 30, 2026, the impact of the R&amp;D Law was immaterial to the Company's interim consolidated financial statements.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accounts for refundable tax credits that are not subject to the scope of ASC 740 using a grant accounting model, by analogy to </w:t>
      </w:r>
      <w:r>
        <w:rPr>
          <w:rFonts w:ascii="Times New Roman;serif" w:hAnsi="Times New Roman;serif"/>
          <w:b w:val="false"/>
          <w:i/>
          <w:color w:val="000000"/>
          <w:sz w:val="20"/>
        </w:rPr>
        <w:t>International Accounting Standards 20, Accounting for Government Grants and Disclosure of Government Assistance</w:t>
      </w:r>
      <w:r>
        <w:rPr>
          <w:rFonts w:ascii="Times New Roman;serif" w:hAnsi="Times New Roman;serif"/>
          <w:b w:val="false"/>
          <w:color w:val="000000"/>
          <w:sz w:val="20"/>
        </w:rPr>
        <w:t xml:space="preserve">, and recognizes such grants when the Company has reasonable assurance that it will comply with the grant’s conditions and that the grant will be received. Refundable tax credits are accounted for by analogy to government grants, as the Company can realize the benefit regardless of whether or not it has an income tax liability. Therefore, these amounts are not considered income taxes and fall outside the scope of </w:t>
      </w:r>
      <w:r>
        <w:rPr>
          <w:rFonts w:ascii="Times New Roman;serif" w:hAnsi="Times New Roman;serif"/>
          <w:b w:val="false"/>
          <w:i/>
          <w:color w:val="000000"/>
          <w:sz w:val="20"/>
        </w:rPr>
        <w:t>Topic 740, Income Tax</w:t>
      </w:r>
      <w:r>
        <w:rPr>
          <w:rFonts w:ascii="Times New Roman;serif" w:hAnsi="Times New Roman;serif"/>
          <w:b w:val="false"/>
          <w:color w:val="000000"/>
          <w:sz w:val="20"/>
        </w:rPr>
        <w:t>. Refundable tax credits are recorded in the interim consolidated financial statements in accordance with their purpose, generally as a reduction of expenses, or a reduction of asset costs. For the six months ended June 30, 2026, tax credits were immaterial to the company's interim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ACCUMULATED OTHER COMPREHENSIVE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show a summary of changes in accumulated other comprehensive income (loss), net of tax, by component for the six months ended June 30, 2026 and 2025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10"/>
        <w:gridCol w:w="1053"/>
        <w:gridCol w:w="1057"/>
        <w:gridCol w:w="480"/>
        <w:gridCol w:w="925"/>
        <w:gridCol w:w="250"/>
        <w:gridCol w:w="109"/>
        <w:gridCol w:w="109"/>
        <w:gridCol w:w="109"/>
        <w:gridCol w:w="337"/>
        <w:gridCol w:w="648"/>
        <w:gridCol w:w="174"/>
        <w:gridCol w:w="109"/>
        <w:gridCol w:w="109"/>
        <w:gridCol w:w="109"/>
        <w:gridCol w:w="483"/>
        <w:gridCol w:w="1173"/>
        <w:gridCol w:w="254"/>
        <w:gridCol w:w="109"/>
        <w:gridCol w:w="109"/>
        <w:gridCol w:w="109"/>
        <w:gridCol w:w="211"/>
        <w:gridCol w:w="511"/>
        <w:gridCol w:w="158"/>
      </w:tblGrid>
      <w:tr>
        <w:trPr/>
        <w:tc>
          <w:tcPr>
            <w:tcW w:w="151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01"/>
        <w:gridCol w:w="1043"/>
        <w:gridCol w:w="1046"/>
        <w:gridCol w:w="409"/>
        <w:gridCol w:w="1023"/>
        <w:gridCol w:w="214"/>
        <w:gridCol w:w="109"/>
        <w:gridCol w:w="109"/>
        <w:gridCol w:w="109"/>
        <w:gridCol w:w="307"/>
        <w:gridCol w:w="744"/>
        <w:gridCol w:w="158"/>
        <w:gridCol w:w="109"/>
        <w:gridCol w:w="109"/>
        <w:gridCol w:w="109"/>
        <w:gridCol w:w="479"/>
        <w:gridCol w:w="1165"/>
        <w:gridCol w:w="252"/>
        <w:gridCol w:w="109"/>
        <w:gridCol w:w="109"/>
        <w:gridCol w:w="109"/>
        <w:gridCol w:w="211"/>
        <w:gridCol w:w="511"/>
        <w:gridCol w:w="161"/>
      </w:tblGrid>
      <w:tr>
        <w:trPr/>
        <w:tc>
          <w:tcPr>
            <w:tcW w:w="150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359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359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amounts in the summary of changes in accumulated other comprehensive income (loss) tables, above, are net of tax expense/(benefits) as follows (in millions):</w:t>
      </w:r>
    </w:p>
    <w:tbl>
      <w:tblPr>
        <w:tblW w:w="7230" w:type="dxa"/>
        <w:jc w:val="left"/>
        <w:tblInd w:w="0" w:type="dxa"/>
        <w:tblLayout w:type="fixed"/>
        <w:tblCellMar>
          <w:top w:w="28" w:type="dxa"/>
          <w:left w:w="28" w:type="dxa"/>
          <w:bottom w:w="28" w:type="dxa"/>
          <w:right w:w="28" w:type="dxa"/>
        </w:tblCellMar>
      </w:tblPr>
      <w:tblGrid>
        <w:gridCol w:w="1140"/>
        <w:gridCol w:w="1001"/>
        <w:gridCol w:w="1009"/>
        <w:gridCol w:w="211"/>
        <w:gridCol w:w="406"/>
        <w:gridCol w:w="109"/>
        <w:gridCol w:w="109"/>
        <w:gridCol w:w="109"/>
        <w:gridCol w:w="109"/>
        <w:gridCol w:w="211"/>
        <w:gridCol w:w="481"/>
        <w:gridCol w:w="109"/>
        <w:gridCol w:w="109"/>
        <w:gridCol w:w="109"/>
        <w:gridCol w:w="109"/>
        <w:gridCol w:w="211"/>
        <w:gridCol w:w="406"/>
        <w:gridCol w:w="109"/>
        <w:gridCol w:w="109"/>
        <w:gridCol w:w="109"/>
        <w:gridCol w:w="109"/>
        <w:gridCol w:w="211"/>
        <w:gridCol w:w="48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 contracts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for interest rate swaps and foreign currency derivative contracts were reclassified to interest expense and operating expenses, respectively, in the Company’s consolidated statements of comprehensive income during the three and six months ended June 30, 2026 and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NET INCOME ATTRIBUTABLE TO COMMON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share attributable to common stockholders (in millions, except per share data):</w:t>
      </w:r>
    </w:p>
    <w:tbl>
      <w:tblPr>
        <w:tblW w:w="10205" w:type="dxa"/>
        <w:jc w:val="left"/>
        <w:tblInd w:w="0" w:type="dxa"/>
        <w:tblLayout w:type="fixed"/>
        <w:tblCellMar>
          <w:top w:w="28" w:type="dxa"/>
          <w:left w:w="28" w:type="dxa"/>
          <w:bottom w:w="28" w:type="dxa"/>
          <w:right w:w="28" w:type="dxa"/>
        </w:tblCellMar>
      </w:tblPr>
      <w:tblGrid>
        <w:gridCol w:w="2466"/>
        <w:gridCol w:w="1670"/>
        <w:gridCol w:w="1671"/>
        <w:gridCol w:w="211"/>
        <w:gridCol w:w="511"/>
        <w:gridCol w:w="109"/>
        <w:gridCol w:w="109"/>
        <w:gridCol w:w="109"/>
        <w:gridCol w:w="109"/>
        <w:gridCol w:w="211"/>
        <w:gridCol w:w="511"/>
        <w:gridCol w:w="109"/>
        <w:gridCol w:w="109"/>
        <w:gridCol w:w="109"/>
        <w:gridCol w:w="109"/>
        <w:gridCol w:w="211"/>
        <w:gridCol w:w="557"/>
        <w:gridCol w:w="109"/>
        <w:gridCol w:w="109"/>
        <w:gridCol w:w="109"/>
        <w:gridCol w:w="109"/>
        <w:gridCol w:w="211"/>
        <w:gridCol w:w="511"/>
        <w:gridCol w:w="156"/>
      </w:tblGrid>
      <w:tr>
        <w:trPr/>
        <w:tc>
          <w:tcPr>
            <w:tcW w:w="2466"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common stockholders, basic</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common stockholders, diluted</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on a grant-by-grant basis as the method for determining the dilutive effect of options, RSUs and PSUs. Under this method, it is assumed that the hypothetical proceeds received upon settlement are used to repurchase common shares at the average market price during the period. The following outstanding employee equity awards were excluded from the calculation of diluted net income per share because their effect would have been anti-dilutive for the periods presented (in millions):</w:t>
      </w:r>
    </w:p>
    <w:tbl>
      <w:tblPr>
        <w:tblW w:w="5433" w:type="dxa"/>
        <w:jc w:val="left"/>
        <w:tblInd w:w="0" w:type="dxa"/>
        <w:tblLayout w:type="fixed"/>
        <w:tblCellMar>
          <w:top w:w="28" w:type="dxa"/>
          <w:left w:w="28" w:type="dxa"/>
          <w:bottom w:w="28" w:type="dxa"/>
          <w:right w:w="28" w:type="dxa"/>
        </w:tblCellMar>
      </w:tblPr>
      <w:tblGrid>
        <w:gridCol w:w="450"/>
        <w:gridCol w:w="396"/>
        <w:gridCol w:w="399"/>
        <w:gridCol w:w="268"/>
        <w:gridCol w:w="243"/>
        <w:gridCol w:w="188"/>
        <w:gridCol w:w="188"/>
        <w:gridCol w:w="188"/>
        <w:gridCol w:w="188"/>
        <w:gridCol w:w="268"/>
        <w:gridCol w:w="243"/>
        <w:gridCol w:w="188"/>
        <w:gridCol w:w="109"/>
        <w:gridCol w:w="109"/>
        <w:gridCol w:w="109"/>
        <w:gridCol w:w="255"/>
        <w:gridCol w:w="256"/>
        <w:gridCol w:w="162"/>
        <w:gridCol w:w="162"/>
        <w:gridCol w:w="162"/>
        <w:gridCol w:w="162"/>
        <w:gridCol w:w="255"/>
        <w:gridCol w:w="256"/>
        <w:gridCol w:w="229"/>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6.0 million PSUs were excluded from the calculation of diluted net income per share for each of the three and six months ended June 30, 2026 and 10.3 million PSUs were excluded from the calculation of diluted net income per share for each of the three and six months ended June 30, 2025, because the minimum performance measures were not yet met.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SUBSEQUENT EVENTS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performed a review for subsequent events through the date of these financial statements. Other than the litigation developments disclosed in </w:t>
      </w:r>
      <w:r>
        <w:rPr>
          <w:rFonts w:ascii="Times New Roman;serif" w:hAnsi="Times New Roman;serif"/>
          <w:b w:val="false"/>
          <w:i/>
          <w:color w:val="000000"/>
          <w:sz w:val="20"/>
        </w:rPr>
        <w:t>Note 8, Commitments and Contingencies</w:t>
      </w:r>
      <w:r>
        <w:rPr>
          <w:rFonts w:ascii="Times New Roman;serif" w:hAnsi="Times New Roman;serif"/>
          <w:b w:val="false"/>
          <w:color w:val="000000"/>
          <w:sz w:val="20"/>
        </w:rPr>
        <w:t>, no other material items were noted for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w:t>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one of the world’s leading developers of mobile games creating fun, innovative experiences that entertain and engage our users. We have built best-in-class live game operations services and proprietary technology tools to support our portfolio of games which enable us to drive strong user engagement and monetization. Our games are free-to-play, and we are experts in providing novel, curated in-game content and offers to our users, at optimal points in their game journeys. Our players love our games because they are fun, creative, engaging, and kept fresh through a release of new features that are customized for different player segments. As a result, we have retained paying users over long periods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early 2026, the conflict involving Iran and Israel has remained highly volatile, with periodic exchanges of missile, drone, air, and maritime-related attacks, and with related hostilities involving Hezbollah in Lebanon, the Houthis in Yemen, and other Iran-aligned groups across the region. Recent reporting indicates that although diplomatic efforts and ceasefire-related discussions have continued, the situation remains fluid and fragile, and renewed escalation remains possible if a durable arrangement is not achieved.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this prolonged regional conflict has not had a direct material financial impact on the Company as of the date of this filing, the Company’s headquarters are located in Israel, and the Company employs approximately 1,195 professionals in Israel, including the majority of the Company’s senior leadership team. The Company continues to actively monitor developments in Israel, Iran, Lebanon, Yemen and the broader region, including the possible effects of renewed hostilities, security disruptions, maritime chokepoint risks, and related operational, supply chain, and personnel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primarily derive revenue from the sale of virtual items associated with online games.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distribute our games to the end customer through various web and mobile platforms, such as Apple and Google and other web and mobile platforms plus our own Direct-to-Consumer (“DTC”) platforms. Through these platforms, users can download our free-to-play games and can purchase virtual items to enhance their game-playing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games are played on various third-party platforms, some of which allow customers to choose to make purchases through our DTC platform or through the third-party platform. If paid through the third-party platform, the platform providers collect proceeds from our customers and pay us an amount after deducting platform fees. For purchases made through both the third-party and DTC platforms, we are primarily responsible for fulfilling the virtual items, have the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includes payment processing fees, royalties, customer support, hosting fees and depreciation and amortization expenses associated with assets directly involved in the generation of revenues, including servers and internal use software. Payment processing fees and other related expenses for in-app purchases made through our DTC platforms are typically 3-4%. If our players choose to pay through a third-party platform, platform providers (such as Apple and Google)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charge a transactional payment processing fee of 30% to accept payments from our players for such purchases. We generally expect cost of revenue to fluctuate proportionately with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consists of salaries, bonuses, benefits, other compensation, including stock-based compensation and allocated overhead, related to engineering, research, and development. In addition, research and development expenses include depreciation and amortization expenses associated with assets associated with our research and development efforts. We expect that research and development expenses specifically associated with new game development will fluctuate over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and marketing consists of costs related to advertising and user acquisition, including costs related to salaries, bonuses, benefits, and other compensation, including stock-based compensation and allocated overhead. In addition, sales and marketing expenses include depreciation and amortization expenses associated with assets related to our sales and marketing efforts. We plan to continue to invest in sales and marketing to retain and acquire users. However, sales and marketing expenses may fluctuate as a percentage of revenues depending on the timing and efficiency of our marketing efforts.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salaries, bonuses, benefits, and other compensation, including stock-based compensation, for all our corporate support functional areas, including our senior leadership. In addition, general and administrative expenses include outsourced professional services such as consulting, legal and accounting services, taxes and dues, insurance premiums, and costs associated with maintaining our property and infrastructure. General and administrative expenses also include depreciation and amortization expenses associated with assets not directly attributable to any of the expense categories above. We also record adjustments to contingent consideration payable recorded after the acquisition date, and legal settlement expenses, as components of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and other,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interest expense includes interest incurred under our Credit Agreement and amortization of deferred financing costs. We expect to continue to incur interest expense under our Credit Agreement, although such interest expense will fluctuate based upon the underlying variable interest rates. We entered into multiple interest rate swap agreements in March 2021 and in January 2023, accumulating to a total notional amount of $1.0 billion, reducing our overall exposure to variable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cash, cash equivalents and short-term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include gains and losses resulting from remeasurement of certain non-USD denominated balance sheet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of current income taxes in the various jurisdictions where we are subject to taxation, primarily the United States, the United Kingdom, Israel, Germany, and Austria,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can fluctuate based on various factors, including our financial results and the geographic mix to which they relate, the applicability of special tax regimes, changes in our business or operations, examination-related developments and uncertain tax positions, and changes in tax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net income as revenue minus cost of revenues, research and development, sales and marketing and general and administrative expenses, interest and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Operating Results of Playtika Holding Corp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measure the performance of our business by using several key financial metrics, including revenue and operating income, and operating metrics, including Daily Active Users, Average Revenue per Daily Active User, Paying Users, and Average Revenue per Paying User. These operating metrics help our management to understand and measure the engagement levels of our players, the size of our audience and our reach. See “Basis of Presentation” and “Summary Consolidated Financial and Other Data” for additional information of these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Daily Active Users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Daily Active Users, or DAUs, as the number of individuals who played one of our games during a particular day on a particular platform. Under this metric, an individual who plays two different games on the same day is counted as two DAUs. Similarly, an individual who plays the same game on two different platforms (e.g., web and mobile) or on two different social networks on the same day would be counted as two DAUs. Average DAUs for a particular period is the average of the DAUs for each day during that period. We believe that Daily Active Users is a useful metric to measure the scale and usage of our game platform.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Daily Paying Users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Daily Paying Users, or DPUs, as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could be counted as two DPUs. Average DPUs for a particular period is the average of the DPUs for each day during that period. We believe that Daily Paying Users is a useful metric to measure game monetization.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Daily Payer Conversion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Daily Payer Conversion as the total number of DPUs divided by the number of DAUs on a particular day. Average Daily Payer Conversion for a particular period is the average of the Daily Payer Conversion rates for each day during that period. We believe that Daily Payer Conversion is a useful metric to describe the monetization of our users.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Average Revenue per Daily Active User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Average Revenue per Daily Active User, or ARPDAU, as (i) the total revenue in a given period, (ii) divided by the number of days in that period, (iii) divided by the average DAUs during the period. We believe that ARPDAU is a useful metric to describe monetization.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Monthly Active Users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Monthly Active Users, or MAUs, as the number of individuals who played one of our games during a calendar month on a particular platform. Under this metric, an individual who plays two different games in the same calendar month is counted as two MAUs. Similarly, an individual who plays the same game on two different platforms (e.g., web and mobile) or on two different social networks during the same month would be counted as two MAUs. Average MAUs for a particular period is the average of the MAUs for each month during that period. We believe that MAUs is a useful metric to measure the scale and reach of our platform, but we base our business decisions primarily on daily performance metrics, which we believe more accurately reflect user engagement with our games.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the results of our key financial and operating metrics for the periods indicated. Unless otherwise indicated, financial metrics are presented in millions of U.S. Dollars, user statistics are presented in millions of users, and ARPDAU is presented in U.S. Dollars. </w:t>
      </w:r>
    </w:p>
    <w:tbl>
      <w:tblPr>
        <w:tblW w:w="10205" w:type="dxa"/>
        <w:jc w:val="left"/>
        <w:tblInd w:w="0" w:type="dxa"/>
        <w:tblLayout w:type="fixed"/>
        <w:tblCellMar>
          <w:top w:w="28" w:type="dxa"/>
          <w:left w:w="28" w:type="dxa"/>
          <w:bottom w:w="28" w:type="dxa"/>
          <w:right w:w="28" w:type="dxa"/>
        </w:tblCellMar>
      </w:tblPr>
      <w:tblGrid>
        <w:gridCol w:w="1626"/>
        <w:gridCol w:w="1425"/>
        <w:gridCol w:w="1434"/>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318"/>
      </w:tblGrid>
      <w:tr>
        <w:trPr/>
        <w:tc>
          <w:tcPr>
            <w:tcW w:w="162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percentages, Average DPUs and ARPDAU)</w:t>
            </w:r>
          </w:p>
        </w:tc>
        <w:tc>
          <w:tcPr>
            <w:tcW w:w="25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Non-financial performance metrics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DPUs (in thousands)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Payer Conversion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ARPDAU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MAUs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versus the three and six months ended June 30, 2025</w:t>
      </w:r>
    </w:p>
    <w:p>
      <w:pPr>
        <w:pStyle w:val="TextBody"/>
        <w:bidi w:val="0"/>
        <w:spacing w:before="0" w:after="0"/>
        <w:jc w:val="both"/>
        <w:rPr/>
      </w:pPr>
      <w:r>
        <w:rPr/>
      </w:r>
    </w:p>
    <w:tbl>
      <w:tblPr>
        <w:tblW w:w="7896" w:type="dxa"/>
        <w:jc w:val="left"/>
        <w:tblInd w:w="0" w:type="dxa"/>
        <w:tblLayout w:type="fixed"/>
        <w:tblCellMar>
          <w:top w:w="28" w:type="dxa"/>
          <w:left w:w="28" w:type="dxa"/>
          <w:bottom w:w="28" w:type="dxa"/>
          <w:right w:w="28" w:type="dxa"/>
        </w:tblCellMar>
      </w:tblPr>
      <w:tblGrid>
        <w:gridCol w:w="834"/>
        <w:gridCol w:w="737"/>
        <w:gridCol w:w="738"/>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671"/>
      </w:tblGrid>
      <w:tr>
        <w:trPr/>
        <w:tc>
          <w:tcPr>
            <w:tcW w:w="8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millions)</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1,402.0 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6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1,224.5 </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for the three and six months ended June 30, 2026 increased by $35.1 million and $73.8 million, respectively, when compared with the comparable periods of 2025 primarily due to incremental revenues from certain SuperPlay titles which more than offset the decrease in revenues due to reduced monetization in other games.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revenue for the three and six months ended June 30, 2026 decreased by $2.9 million and $8.1 million, respectively, when compared with the comparable period of 2025. The decrease in cost of revenue was primarily driven by a higher proportion of revenue generated through our direct-to-consumer platforms, which incur lower platform fees compared to third-party platforms, partially offset by increased platform fees associated with higher overall revenue and higher royalty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and six months ended June 30, 2026 decreased by $18.1 million and $23.9 million, respectively, when compared with the comparable period of 2025. The decrease was primarily attributable to lower headcount and reduced outsourcing spend as well as lower stock-based compensation expense as previously granted awards became fully vested, partially offset by the issuance of fewer new equity awards with lower grant-date fair values. During the six months ended June 30, 2026, the decrease was offset by severance expense related to the reduction in force.</w:t>
      </w:r>
    </w:p>
    <w:p>
      <w:pPr>
        <w:pStyle w:val="TextBody"/>
        <w:bidi w:val="0"/>
        <w:spacing w:before="0" w:after="0"/>
        <w:ind w:left="0" w:right="0" w:firstLine="489"/>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Sales and marketing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for the three months ended June 30, 2026 decreased $5.1 million when compared with the three months ended June 30, 2025. The decrease was largely due to a decrease in depreciation and amortization related to fully amortized assets and a decrease in media buy in some games, offset by an increase in media buy related to SuperPlay.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for the six months ended June 30, 2026 increased by $83.7 million when compared with the six months ended June 30, 2025. The increases in sales and marketing expenses were due largely to increased media buy related to SuperPlay, offset by a decrease in media buy in some other games and in depreciation and amortization related to fully amortized assets. Sales and marketing expenses may continue to fluctuate between quarters as a percentage of revenues driven by the timing and scale of marketing investments at SuperPlay.</w:t>
      </w:r>
    </w:p>
    <w:p>
      <w:pPr>
        <w:pStyle w:val="TextBody"/>
        <w:bidi w:val="0"/>
        <w:spacing w:before="0" w:after="0"/>
        <w:ind w:left="0" w:right="0" w:firstLine="489"/>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and six months ended June 30, 2026 increased by $36.2 million and $114.5 million, respectively, when compared with the comparable period of 2025 primarily due a one-time benefit from the revaluation of contingent consideration, which reduced general and administrative expenses in 2025. Excluding the impact of contingent consideration revaluation, general and administrative expenses increased $1.2 million for the three months ended June 30, 2026, as higher consulting expenses were partially offset by lower payroll and related costs from reduced headcount, and for the six months ended June 30, 2026, general and administrative expenses decreased $8.6 million, as lower payroll and related costs from reduced headcount were partially offset by higher consulting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Impairment charge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recorded $0.5 million of impairment charges related to our investments in unconsolidated affiliates and the impairment of an operating lease right-of-use asset. During the three and six months ended June 30, 2025, we recorded an impairment charge of $0.4 million related to the impairment of an operating lease right-of-use asset.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Factors Affecting Net Income</w:t>
      </w:r>
    </w:p>
    <w:tbl>
      <w:tblPr>
        <w:tblW w:w="7283" w:type="dxa"/>
        <w:jc w:val="left"/>
        <w:tblInd w:w="0" w:type="dxa"/>
        <w:tblLayout w:type="fixed"/>
        <w:tblCellMar>
          <w:top w:w="28" w:type="dxa"/>
          <w:left w:w="28" w:type="dxa"/>
          <w:bottom w:w="28" w:type="dxa"/>
          <w:right w:w="28" w:type="dxa"/>
        </w:tblCellMar>
      </w:tblPr>
      <w:tblGrid>
        <w:gridCol w:w="964"/>
        <w:gridCol w:w="851"/>
        <w:gridCol w:w="855"/>
        <w:gridCol w:w="278"/>
        <w:gridCol w:w="673"/>
        <w:gridCol w:w="143"/>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6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millions)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net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increased $1.3 million when compared with the three months ended June 30, 2025 as a result of higher average interest rates paid on that balance. Interest expense for the six months ended June 30, 2026 decreased $0.1 million when compared with the six months ended June 30, 2025 as a result of a lower variable debt balance offset by higher average interest rates paid on that balance.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for the three months ended June 30, 2026 decreased $1.1 million when compared with the three months ended June 30, 2025 as a result of lower balances held in interest bearing cash, cash equivalent and short-term investment accounts, and lower average interest rates earned on those balances.. Interest income for the six months ended June 30, 2026 increased by $0.3 million when compared with the six months ended June 30, 2026 as a result of higher average balances held in interest bearing cash, cash equivalent and short-term investment accounts, slightly offset by lower interest rates earned on those balances.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for the three months ended June 30, 2026 was 29.9% compared to 26.4% for the three months ended June 30, 2025. The effective income tax rate for the six months ended June 30, 2026 was (79.2)% compared to 26.0% for the six months ended June 30, 2025. The effective tax rates were determined using a worldwide estimated annual effective tax rate and took discrete items into consideration. The difference between the effective tax rate and the 21% U.S. federal statutory rate for the six months ended June 30, 2026 was primarily due to impacts of tax positions that do not meet the more likely than not standard. The difference between the effective tax rate and the 21% U.S. federal statutory rate for the six months ended June 30, 2025 was primarily due to the inclusion of Global Intangible Low-Taxed Income, tax rates in foreign jurisdictions, state income taxes, and changes in valuation allowances, partially offset by a favorable impact of tax positions that do not meet the more likely than not standard.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Upon aggregating all of the components of our results of operations above, net income for the three months ended June 30, 2026 increased $14.8 million</w:t>
      </w:r>
      <w:r>
        <w:rPr>
          <w:color w:val="000000"/>
        </w:rPr>
        <w:t xml:space="preserve"> </w:t>
      </w:r>
      <w:r>
        <w:rPr>
          <w:rFonts w:ascii="Times New Roman;serif" w:hAnsi="Times New Roman;serif"/>
          <w:b w:val="false"/>
          <w:color w:val="000000"/>
          <w:sz w:val="20"/>
        </w:rPr>
        <w:t xml:space="preserve">and for the six months ended June 30, 2026, decreased $73.3 million when compared with the same periods of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Reconciliation of Adjusted EBITDA to Net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Below is a reconciliation of Adjusted EBITDA to net income, the closest GAAP financial measure. Our Credit Agreement defines Adjusted EBITDA as net income before (i) interest expense, (ii) interest income, (iii) provision for income taxes, (iv) depreciation and amortization expense, (v) impairment charges, (vi) stock-based compensation, (vii) contingent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consideration, (viii) acquisition and related expenses, and (ix) certain other items. We calculate Adjusted EBITDA Margin as Adjusted EBITDA divided by revenues.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as calculated herein may not be comparable to similarly titled measures reported by other companies within the industry and are not determined in accordance with GAAP. Our presentation of Adjusted EBITDA and Adjusted EBITDA Margin should not be construed as an inference that our future results will be unaffected by unusual or unexpected items.</w:t>
      </w:r>
    </w:p>
    <w:tbl>
      <w:tblPr>
        <w:tblW w:w="10068" w:type="dxa"/>
        <w:jc w:val="left"/>
        <w:tblInd w:w="0" w:type="dxa"/>
        <w:tblLayout w:type="fixed"/>
        <w:tblCellMar>
          <w:top w:w="28" w:type="dxa"/>
          <w:left w:w="28" w:type="dxa"/>
          <w:bottom w:w="28" w:type="dxa"/>
          <w:right w:w="28" w:type="dxa"/>
        </w:tblCellMar>
      </w:tblPr>
      <w:tblGrid>
        <w:gridCol w:w="1679"/>
        <w:gridCol w:w="1480"/>
        <w:gridCol w:w="1491"/>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67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estimated value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Acquisition and related expenses</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Reflects stock-based compensation expense related to the issuance of equity awards to our employees and Directors.</w:t>
      </w:r>
    </w:p>
    <w:p>
      <w:pPr>
        <w:pStyle w:val="TextBody"/>
        <w:bidi w:val="0"/>
        <w:spacing w:lineRule="auto" w:line="26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Includes costs incurred to evaluate and pursue acquisition activities as well as costs incurred by the Company in connection with the evaluation of strategic alternatives.</w:t>
      </w:r>
    </w:p>
    <w:p>
      <w:pPr>
        <w:pStyle w:val="TextBody"/>
        <w:bidi w:val="0"/>
        <w:spacing w:lineRule="auto" w:line="288" w:before="0" w:after="0"/>
        <w:ind w:left="0" w:right="0" w:hanging="72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Amounts for the three and six months ended June 30, 2026 consists primarily of $1.6 million and $15.3 million, respectively, incurred by the Company for severance.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for the three and six months ended June 30, 2025 consists of $7.8 million and $8.5 million, respectively, incurred by the Company related to restructuring activities.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spending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 capital expenditures in the normal course of business and perform ongoing enhancements and updates to our social and mobile games to maintain our quality standards. Cash used for capital expenditures in the normal course of business is typically made available from cash flows generated by operating activities. We may also pursue acquisition opportunities for additional businesses or social or mobile games that meet our strategic and return on investment criteria. Capital needs are evaluated on an individual opportunity basis and may require significant capital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the cash flows generated from our operations, currently available unrestricted cash and cash equivalents, short-term highly liquid investments, and borrowings under our $550 million revolving credit facility (the “Revolving Credit Facility”) (together with our senior secured first lien term loan, the “Credit Agreement”). Our cash and cash equivalents and short-term investments totaled $438.5 million and $820.2 million at June 30, 2026 and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2025, respectively. </w:t>
      </w:r>
      <w:r>
        <w:rPr>
          <w:rFonts w:ascii="Times New Roman;serif" w:hAnsi="Times New Roman;serif"/>
          <w:b w:val="false"/>
          <w:color w:val="000000"/>
          <w:sz w:val="20"/>
          <w:shd w:fill="FFFFFF" w:val="clear"/>
        </w:rPr>
        <w:t>On April 23, 2025, the Company entered into a Fourth Amendment (the “Fourth Amendment”) to the Credit Agreement which, among other things, decreased the aggregate principal amount of the Revolving Credit Facility from $</w:t>
      </w:r>
      <w:r>
        <w:rPr>
          <w:rFonts w:ascii="Times New Roman;serif" w:hAnsi="Times New Roman;serif"/>
          <w:b w:val="false"/>
          <w:color w:val="000000"/>
          <w:sz w:val="20"/>
        </w:rPr>
        <w:t xml:space="preserve">600 million to $550 million. On February 16, 2026, the Company entered into a Fifth Amendment (the “Fifth Amendment”) to the Credit Agreement which, among other things, extended the maturity of the Revolving Credit Facility to March 6, 2027.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$550 million in additional borrowing capacity pursuant to our Revolving Credit Facility. Payments of short-term debt obligations and other commitments are expected to be made from cash on the balance sheet and operating cash flows. Long-term obligations are expected to be paid through operating cash flows, refinancing of our existing credit facilities or additional debt issuances.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2024 and 2025, our Board of Directors declared quarterly cash dividends of $0.10 per share on the Company’s outstanding common stock. Beginning in 2026, the Board determined to discontinue the regular quarterly dividend as part of a broader capital allocation strategy. The Company remains committed to maintaining financial discipline through a balanced evaluation of strategic growth opportunities, including potential mergers and acquisitions, alongside returns to stockholders and the capital needs of ongoing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fund our operations, pay our debt obligations and fund planned capital expenditures depends, in part, upon economic and other factors that are beyond our control, and disruptions in capital markets could impact our ability to secure additional funds through financing activities. We believe that our cash and cash equivalents balance, short-term investments, restricted cash and cash flows from operations will be sufficient to meet our normal operating requirements during the next 12 months and the foreseeable future and to fund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our cash flows for the periods indicated (in millions):</w:t>
      </w:r>
    </w:p>
    <w:tbl>
      <w:tblPr>
        <w:tblW w:w="8034" w:type="dxa"/>
        <w:jc w:val="left"/>
        <w:tblInd w:w="0" w:type="dxa"/>
        <w:tblLayout w:type="fixed"/>
        <w:tblCellMar>
          <w:top w:w="28" w:type="dxa"/>
          <w:left w:w="28" w:type="dxa"/>
          <w:bottom w:w="28" w:type="dxa"/>
          <w:right w:w="28" w:type="dxa"/>
        </w:tblCellMar>
      </w:tblPr>
      <w:tblGrid>
        <w:gridCol w:w="2068"/>
        <w:gridCol w:w="1820"/>
        <w:gridCol w:w="1827"/>
        <w:gridCol w:w="211"/>
        <w:gridCol w:w="691"/>
        <w:gridCol w:w="109"/>
        <w:gridCol w:w="109"/>
        <w:gridCol w:w="109"/>
        <w:gridCol w:w="109"/>
        <w:gridCol w:w="211"/>
        <w:gridCol w:w="616"/>
        <w:gridCol w:w="154"/>
      </w:tblGrid>
      <w:tr>
        <w:trPr/>
        <w:tc>
          <w:tcPr>
            <w:tcW w:w="2068"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 for the six months ended June 30, 2026 was $51.5 million compared with $164.9 million for the same period of 2025. Net cash flows provided by operating activities for each period primarily consisted of net income generated during the period, exclusive of non-cash expenses such as depreciation, amortization, stock-based compensation and changes in the fair value of contingent consideration payable, with changes in working capital impacted by the payment of annual and incentive bonuses and payment of long-term cash compensation during the first quarter and other normal working-capital timing differences. The activity for the six months ended June 30, 2026 includes a cash outflow of $111.0 million for the payment of the SuperPlay earnout in excess of acquisition day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flow provided by investing activities for the six months ended June 30, 2026 was $99.0 million compared with cash flow used in investing activities of $135.2 million for the same period of 2025. Cash flows related to investing activities generally includes activity related to the purchase of and proceeds from short-term investments and marketable securities as well as outflows related to the purchase and capitalization of assets. The activity for the six months ended June 30, 2026 includes a cash inflow of $135.6 million in proceeds from the sale of marketable securities. The activity for the six months ended June 30, 2025 includes a cash outflow of $159.8 million for the purchase of short-term investments.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 for the six months ended June 30, 2026 was $398.4 million, compared with $97.0 million for the same period of 2025. Financing activity cash flows for the six months ended June 30, 2026 primarily relates to cash paid in relation to the Company’s purchase of SuperPlay. Financing activity cash flows in both 2026 and 2025 included cash dividends paid and repayments on our bank borrowings and for the six months ended June 30, 2025 includes $10.9 million of cash paid for repurchases of common stock under the Company’s stock repurchase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 $1.9 billion senior secured first lien term loan (the “Term Loan”) maturing on March 11, 2028, and a </w:t>
      </w:r>
      <w:r>
        <w:rPr>
          <w:rFonts w:ascii="Times New Roman;serif" w:hAnsi="Times New Roman;serif"/>
          <w:b w:val="false"/>
          <w:color w:val="000000"/>
          <w:sz w:val="20"/>
          <w:shd w:fill="FFFFFF" w:val="clear"/>
        </w:rPr>
        <w:t>$550 million</w:t>
      </w:r>
      <w:r>
        <w:rPr>
          <w:color w:val="000000"/>
        </w:rPr>
        <w:t xml:space="preserve"> </w:t>
      </w:r>
      <w:r>
        <w:rPr>
          <w:rFonts w:ascii="Times New Roman;serif" w:hAnsi="Times New Roman;serif"/>
          <w:b w:val="false"/>
          <w:color w:val="000000"/>
          <w:sz w:val="20"/>
        </w:rPr>
        <w:t xml:space="preserve">Revolving Credit Facility (together, the “Credit Agreement”) maturing on March 6, 2027. The Term Loan requires quarterly principal payments equal to 0.25% of the original aggregate principal amount of the Term Loan with balance due at maturity.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11, 2021, we issued $600.0 million aggregate principal amount of our 4.250% senior notes due 2029 (the “Notes”). The Notes mature on March 15, 2029. Interest on the Notes will accrue at a rate of 4.250% per annum. Interest on the Notes is payable semi-annually in cash in arrears on March 15 and September 15 of each year, commencing on September 15, 2021.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Significant terms of the Credit Facilities, the Term Loan and the Notes, including balances outstanding, interest and fees, mandatory and voluntary prepayment requirements, collateral and guarantors and restrictive covenants are detailed in </w:t>
      </w:r>
      <w:r>
        <w:rPr>
          <w:rFonts w:ascii="Times New Roman;serif" w:hAnsi="Times New Roman;serif"/>
          <w:b w:val="false"/>
          <w:i/>
          <w:color w:val="000000"/>
          <w:sz w:val="20"/>
        </w:rPr>
        <w:t>Note 4</w:t>
      </w:r>
      <w:r>
        <w:rPr>
          <w:rFonts w:ascii="Times New Roman;serif" w:hAnsi="Times New Roman;serif"/>
          <w:b w:val="false"/>
          <w:color w:val="000000"/>
          <w:sz w:val="2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 xml:space="preserve">, to the accompanying consolidated financial statements and in </w:t>
      </w:r>
      <w:r>
        <w:rPr>
          <w:rFonts w:ascii="Times New Roman;serif" w:hAnsi="Times New Roman;serif"/>
          <w:b w:val="false"/>
          <w:i/>
          <w:color w:val="000000"/>
          <w:sz w:val="20"/>
        </w:rPr>
        <w:t xml:space="preserve">Note 13, Debt, </w:t>
      </w:r>
      <w:r>
        <w:rPr>
          <w:rFonts w:ascii="Times New Roman;serif" w:hAnsi="Times New Roman;serif"/>
          <w:b w:val="false"/>
          <w:color w:val="000000"/>
          <w:sz w:val="20"/>
        </w:rPr>
        <w:t>in our Annual Report on Form 10-K filed with the Securities and Exchange Commission (the “SEC”) on February 26,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These risks primarily include interest rate risk, investment risk, and foreign currency risk as follows: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exposures to market risk for changes in interest rates relate primarily to our Term Loan and our Revolving Credit Facility. The Term Loan and our Revolving Credit Facility are floating rate facilities. Therefore, fluctuations in interest rates will impact the amount of interest expense we incur and have to pay.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2023, we entered into two interest rate swap agreements, each with a notional value of $250 million. Each of these swap agreements requires us to pay a fixed interest rate of 3.435% in exchange for receiving one-month LIBOR for six months and one-month Term Secured Overnight Financing Rate (“SOFR”) afterwards. The interest rate swap agreements settle monthly commencing in February 2023 through their termination dates on February 28, 2028.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the Company entered into an additional interest rate swap agreement to replace two interest rate swap agreements that matured on April 30, 2026. The new interest rate swap agreement has a notional value of $500 million. Under the agreement we pay a fixed interest rate of 3.709% in exchange for receiving one-month Term SOFR. The new interest rate swap agreement settles monthly commencing in May 2026 through its termination date on February 28, 2027.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our interest rate swap agreements is derived from a discounted cash flow analysis.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borrowings outstanding under our Term Loan with book values of $1,787.3 million and $1,793.2 million at June 30, 2026 and December 31, 2025, respectively, which were subject to a weighted average interest rate of 6.552% and 6.879% for the six months ended June 30, 2026 and the year ended December 31, 2025, respectively. There were no borrowings against our Revolving Credit Facility at June 30, 2026 or December 31, 2025. The Notes bear interest at a fixed rate of 4.250% per annum and accordingly do not vary with prevailing interest rates.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hypothetical 100 basis point increase or decrease in weighted average interest rates under our Term Loan would have increased or decreased our interest expense by $8.0 million over a twelve-month period, including consideration of the impact the hypothetical basis point change would have had on our interest rate swap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our senior notes will generally fluctuate with movements of interest rates, increasing in periods of declining rates of interest and declining in periods of increasing rates of interest.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hypothetical 100 basis point increase in interest rates would have decreased the fair value of our senior notes by $12.9 million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hypothetical 100 basis point decrease in interest rates would have increased the fair value of our senior notes by $13.3 million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Investment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cash and cash equivalents including restricted cash totaling $438.7 million and $685.7 million as of June 30, 2026 and December 31, 2025, respectively. We also had short-term investments of $136.0 million as of December 31, 2025. Our investment policy and strategy primarily attempts to preserve capital and meet liquidity requirements without significantly increasing risk. Our cash and cash equivalents and short-term investments primarily consist of commercial papers, bank deposits and money market funds. We do not enter into investments for trading or speculative purposes. Changes in rates would primarily impact interest income due to the relatively short-term nature of our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functional currency is the U.S. Dollar and most of our revenues are denominated in U.S. Dollars. However, we have foreign currency risks related to a significant portion of our operating expenses, consisting of headcount related expenses as well as certain other operating expenses, denominated in currencies other than the U.S. Dollar, primarily the Euro (“EUR”), Israeli Shekel (“ILS”), Polish Zloty (“PLN”) and Romanian Leu (“RON”). Accordingly, changes in exchange rates in the future may negatively affect our future revenues and other operating results as expressed in U.S. Dollars. Our foreign currency risk is partially mitigated as our revenues recognized in currencies other than the U.S. Dollar is diversified across geographic regions and we incur expenses in the same currencies in these regions.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and will continue to experience fluctuations in our net income as a result of transaction gains or losses related to remeasurement of our asset and liability balances that are denominated in currencies other than the functional currency of the entities in which they are recorded.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entered into derivative contracts to purchase certain foreign currencies at future dates. The approximate amount of hedges was equal to $253.3 million, and all contracts are expected to mature during the upcoming 12 months.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by SEC Rule 13a-15(b), we carried out an evaluation, with the participation of our management, including our Chief Executive Officer and Chief Financial Officer, of the effectiveness of our disclosure controls and procedures as of June 30, 2026, the end of the period covered by this Quarterly Report on Form 10-Q. Based upon that evaluation, our Chief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Executive Officer and Chief Financial Officer concluded that our disclosure controls and procedures were effective at the reasonable assurance level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 ended June 30, 2026, there were no changes in internal control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a description of our legal proceedings, see </w:t>
      </w:r>
      <w:r>
        <w:rPr>
          <w:rFonts w:ascii="Times New Roman;serif" w:hAnsi="Times New Roman;serif"/>
          <w:b w:val="false"/>
          <w:i/>
          <w:color w:val="000000"/>
          <w:sz w:val="20"/>
        </w:rPr>
        <w:t>Note 8,</w:t>
      </w:r>
      <w:r>
        <w:rPr>
          <w:color w:val="000000"/>
        </w:rPr>
        <w:t xml:space="preserve">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included in Part I. Item I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factors discussed in Part I, Item 1A, “Risk Factors” in our Annual Report on Form 10-K for the year ended December 31, 2025, which factors could materially affect our business, financial condition, liquidity or future results. There have been no material changes to the risk factors described in the “Risk Factors” section in our Annual Report on Form 10-K for the year ended December 31, 2025. The risks described in our Annual Report on Form 10-K are not the only risks facing our company. Additional risks and uncertainties not currently known to us or that we currently deem to be immaterial also may materially adversely affect our business, financial condition, liquidity, results of operations, prospects or stock price.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9, 2024, we announced that our Board of Directors authorized a stock repurchase program for up to $150.0 million of our common stock. Under the repurchase program, repurchases can be made using a variety of methods, which may include open market purchases, privately negotiated transactions or otherwise, all in accordance with the rules of the Securities and Exchange Commission and other applicable legal requirements. The specific timing, price and size of purchases will depend on prevailing stock prices, general economic and market conditions, and other considerations. The repurchase program does not obligate us to acquire any particular amount of common stock, and the repurchase program may be suspended or discontinued at any time at the our discretion.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common stock repurchases during the quarter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officers or directors adopted or terminated any “Rule 10b5-1 trading arrangement” or any “non-Rule 10b5-1 trading arrangement,” in each case,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2"/>
        <w:gridCol w:w="248"/>
        <w:gridCol w:w="249"/>
        <w:gridCol w:w="109"/>
        <w:gridCol w:w="109"/>
        <w:gridCol w:w="109"/>
        <w:gridCol w:w="2394"/>
        <w:gridCol w:w="2320"/>
        <w:gridCol w:w="2304"/>
        <w:gridCol w:w="109"/>
        <w:gridCol w:w="109"/>
        <w:gridCol w:w="109"/>
        <w:gridCol w:w="512"/>
        <w:gridCol w:w="512"/>
        <w:gridCol w:w="730"/>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imes New Roman;serif" w:hAnsi="Times New Roman;serif"/>
                <w:b/>
                <w:color w:val="000000"/>
                <w:sz w:val="18"/>
              </w:rPr>
            </w:pPr>
            <w:r>
              <w:rPr>
                <w:rFonts w:ascii="Times New Roman;serif" w:hAnsi="Times New Roman;serif"/>
                <w:b/>
                <w:color w:val="000000"/>
                <w:sz w:val="18"/>
              </w:rPr>
              <w:t>Filed or Furnished Herewith</w:t>
            </w:r>
          </w:p>
        </w:tc>
      </w:tr>
      <w:tr>
        <w:trPr/>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2026q2-ex311xceo302cert.htm">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q2-ex312xcfo302cert.htm">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a2026q2-ex321xceo906cert.htm">
              <w:r>
                <w:rPr>
                  <w:rStyle w:val="InternetLink"/>
                  <w:rFonts w:ascii="Times New Roman;serif" w:hAnsi="Times New Roman;serif"/>
                  <w:b w:val="false"/>
                  <w:color w:val="0000FF"/>
                  <w:sz w:val="18"/>
                  <w:u w:val="single"/>
                </w:rPr>
                <w:t>Certification of Chief Executive Officer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a2026q2-ex322xcfo906cert.htm">
              <w:r>
                <w:rPr>
                  <w:rStyle w:val="InternetLink"/>
                  <w:rFonts w:ascii="Times New Roman;serif" w:hAnsi="Times New Roman;serif"/>
                  <w:b w:val="false"/>
                  <w:color w:val="0000FF"/>
                  <w:sz w:val="18"/>
                  <w:u w:val="single"/>
                </w:rPr>
                <w:t>Certification of Chief Financial Officer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Definition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Indicates management contract or compensatory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0" w:after="0"/>
        <w:jc w:val="both"/>
        <w:rPr/>
      </w:pPr>
      <w:r>
        <w:rPr/>
      </w:r>
    </w:p>
    <w:tbl>
      <w:tblPr>
        <w:tblW w:w="7650" w:type="dxa"/>
        <w:jc w:val="left"/>
        <w:tblInd w:w="0" w:type="dxa"/>
        <w:tblLayout w:type="fixed"/>
        <w:tblCellMar>
          <w:top w:w="28" w:type="dxa"/>
          <w:left w:w="28" w:type="dxa"/>
          <w:bottom w:w="28" w:type="dxa"/>
          <w:right w:w="28" w:type="dxa"/>
        </w:tblCellMar>
      </w:tblPr>
      <w:tblGrid>
        <w:gridCol w:w="831"/>
        <w:gridCol w:w="736"/>
        <w:gridCol w:w="743"/>
        <w:gridCol w:w="1564"/>
        <w:gridCol w:w="1564"/>
        <w:gridCol w:w="2212"/>
      </w:tblGrid>
      <w:tr>
        <w:trPr/>
        <w:tc>
          <w:tcPr>
            <w:tcW w:w="8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PLAYTIKA HOLDING CORP.</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Antokol</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Antokol</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Chairperson of the Board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Tae Lee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Tae Lee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as of August 6, 2026</w:t>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Chief Executive Officer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Robert Antokol, certify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Playtika Holding Corp.;</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13a-15(e) and 15d-15(e))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both"/>
        <w:rPr/>
      </w:pPr>
      <w:r>
        <w:rPr/>
      </w:r>
    </w:p>
    <w:tbl>
      <w:tblPr>
        <w:tblW w:w="6314" w:type="dxa"/>
        <w:jc w:val="left"/>
        <w:tblInd w:w="0" w:type="dxa"/>
        <w:tblLayout w:type="fixed"/>
        <w:tblCellMar>
          <w:top w:w="28" w:type="dxa"/>
          <w:left w:w="28" w:type="dxa"/>
          <w:bottom w:w="28" w:type="dxa"/>
          <w:right w:w="28" w:type="dxa"/>
        </w:tblCellMar>
      </w:tblPr>
      <w:tblGrid>
        <w:gridCol w:w="445"/>
        <w:gridCol w:w="390"/>
        <w:gridCol w:w="394"/>
        <w:gridCol w:w="120"/>
        <w:gridCol w:w="120"/>
        <w:gridCol w:w="120"/>
        <w:gridCol w:w="1380"/>
        <w:gridCol w:w="1380"/>
        <w:gridCol w:w="1965"/>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Robert Antokol</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Antokol</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President and Chairperson of the Board</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Chief Financial Officer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Tae Lee, certify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Playtika Holding Corp.;</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13a-15(e) and 15d-15(e))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both"/>
        <w:rPr/>
      </w:pPr>
      <w:r>
        <w:rPr/>
      </w:r>
    </w:p>
    <w:tbl>
      <w:tblPr>
        <w:tblW w:w="3629" w:type="dxa"/>
        <w:jc w:val="left"/>
        <w:tblInd w:w="0" w:type="dxa"/>
        <w:tblLayout w:type="fixed"/>
        <w:tblCellMar>
          <w:top w:w="28" w:type="dxa"/>
          <w:left w:w="28" w:type="dxa"/>
          <w:bottom w:w="28" w:type="dxa"/>
          <w:right w:w="28" w:type="dxa"/>
        </w:tblCellMar>
      </w:tblPr>
      <w:tblGrid>
        <w:gridCol w:w="445"/>
        <w:gridCol w:w="390"/>
        <w:gridCol w:w="394"/>
        <w:gridCol w:w="120"/>
        <w:gridCol w:w="120"/>
        <w:gridCol w:w="120"/>
        <w:gridCol w:w="597"/>
        <w:gridCol w:w="597"/>
        <w:gridCol w:w="84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Tae Lee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Tae Lee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Playtika Holding Corp. (the “Company”) hereby certifies, to such officer’s knowledge,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quarterly period ended June 30, 2026 (the “Report”) fully complies with the requirements of Section 13(a) or Section 15(d), as applicable, of the Securities Exchange Act of 1934, as amended;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both"/>
        <w:rPr/>
      </w:pPr>
      <w:r>
        <w:rPr/>
      </w:r>
    </w:p>
    <w:p>
      <w:pPr>
        <w:pStyle w:val="TextBody"/>
        <w:bidi w:val="0"/>
        <w:spacing w:before="0" w:after="0"/>
        <w:jc w:val="both"/>
        <w:rPr/>
      </w:pPr>
      <w:r>
        <w:rPr/>
      </w:r>
    </w:p>
    <w:tbl>
      <w:tblPr>
        <w:tblW w:w="7109" w:type="dxa"/>
        <w:jc w:val="left"/>
        <w:tblInd w:w="0" w:type="dxa"/>
        <w:tblLayout w:type="fixed"/>
        <w:tblCellMar>
          <w:top w:w="28" w:type="dxa"/>
          <w:left w:w="28" w:type="dxa"/>
          <w:bottom w:w="28" w:type="dxa"/>
          <w:right w:w="28" w:type="dxa"/>
        </w:tblCellMar>
      </w:tblPr>
      <w:tblGrid>
        <w:gridCol w:w="493"/>
        <w:gridCol w:w="435"/>
        <w:gridCol w:w="437"/>
        <w:gridCol w:w="134"/>
        <w:gridCol w:w="134"/>
        <w:gridCol w:w="136"/>
        <w:gridCol w:w="1565"/>
        <w:gridCol w:w="1565"/>
        <w:gridCol w:w="221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Antokol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Antokol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Chairperson of the Board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Playtika Holding Corp. (the “Company”) hereby certifies, to such officer’s knowledge,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quarterly period ended June 30, 2026 (the “Report”) fully complies with the requirements of Section 13(a) or Section 15(d), as applicable, of the Securities Exchange Act of 1934, as amended;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tbl>
      <w:tblPr>
        <w:tblW w:w="4109" w:type="dxa"/>
        <w:jc w:val="left"/>
        <w:tblInd w:w="0" w:type="dxa"/>
        <w:tblLayout w:type="fixed"/>
        <w:tblCellMar>
          <w:top w:w="28" w:type="dxa"/>
          <w:left w:w="28" w:type="dxa"/>
          <w:bottom w:w="28" w:type="dxa"/>
          <w:right w:w="28" w:type="dxa"/>
        </w:tblCellMar>
      </w:tblPr>
      <w:tblGrid>
        <w:gridCol w:w="493"/>
        <w:gridCol w:w="435"/>
        <w:gridCol w:w="437"/>
        <w:gridCol w:w="134"/>
        <w:gridCol w:w="134"/>
        <w:gridCol w:w="136"/>
        <w:gridCol w:w="685"/>
        <w:gridCol w:w="685"/>
        <w:gridCol w:w="97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Tae Lee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Tae Lee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20880</Words>
  <Characters>113442</Characters>
  <CharactersWithSpaces>133577</CharactersWithSpaces>
  <Paragraphs>2368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